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Amira Haddad,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the statutory flexible working request you made on 5 October 2026.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will consider your request as soon as we can, and we will tell you our decision by 4 December 2026.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we can approve it without any further discussion, I will confirm this in writing.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it needs further discussion, I will set up a meeting within 5 working days to talk about: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changes you are asking for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any effects of the change on the organisation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what we can do to support your request</w:t>
      </w:r>
    </w:p>
    <w:p>
      <w:pPr>
        <w:pStyle w:val="ListParagraph"/>
        <w:numPr>
          <w:ilvl w:val="0"/>
          <w:numId w:val="1"/>
        </w:numPr>
        <w:ind w:left="36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there are any other options you might consider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can bring someone with you to the meeting, for example someone else at work or a trade union representative.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Yours sincerely,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Simon Ashby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Partner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Harper &amp; Lane LLP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Amira Haddad: flexible working acknowledgement</dc:title>
  <dc:creator>DocuWeave</dc:creator>
  <cp:lastModifiedBy>Un-named</cp:lastModifiedBy>
  <cp:revision>1</cp:revision>
  <dcterms:created xsi:type="dcterms:W3CDTF">2026-10-07T07:39:18.901Z</dcterms:created>
  <dcterms:modified xsi:type="dcterms:W3CDTF">2026-10-07T07:39:18.901Z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