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80" w:before="240"/>
        <w:ind w:left="0"/>
      </w:pPr>
      <w:r>
        <w:rPr>
          <w:rFonts w:ascii="Times New Roman" w:cs="Times New Roman" w:eastAsia="Times New Roman" w:hAnsi="Times New Roman"/>
          <w:b/>
          <w:bCs/>
          <w:color w:val="1f2937"/>
          <w:sz w:val="22"/>
          <w:szCs w:val="22"/>
        </w:rPr>
        <w:t xml:space="preserve">Heads of terms</w:t>
      </w:r>
    </w:p>
    <w:p>
      <w:pPr>
        <w:spacing w:after="120" w:line="300"/>
        <w:ind w:left="0"/>
        <w:jc w:val="both"/>
      </w:pPr>
      <w:r>
        <w:rPr>
          <w:rFonts w:ascii="Times New Roman" w:cs="Times New Roman" w:eastAsia="Times New Roman" w:hAnsi="Times New Roman"/>
          <w:sz w:val="22"/>
          <w:szCs w:val="22"/>
        </w:rPr>
        <w:t xml:space="preserve">Subject to contract. These heads of terms set out the main terms agreed in principle for a new lease. They are not legally binding, except for any paragraph below marked “binding”. Neither party is committed until the lease (and any agreement for lease) has been signed and completed.</w:t>
      </w:r>
    </w:p>
    <w:p>
      <w:pPr>
        <w:spacing w:after="120" w:line="300"/>
        <w:ind w:left="0"/>
        <w:jc w:val="both"/>
      </w:pPr>
      <w:r>
        <w:rPr>
          <w:rFonts w:ascii="Times New Roman" w:cs="Times New Roman" w:eastAsia="Times New Roman" w:hAnsi="Times New Roman"/>
          <w:sz w:val="22"/>
          <w:szCs w:val="22"/>
        </w:rPr>
        <w:t xml:space="preserve">Date: 6 October 2026</w:t>
      </w:r>
    </w:p>
    <w:p>
      <w:pPr>
        <w:spacing w:after="120" w:line="300"/>
        <w:ind w:left="0"/>
        <w:jc w:val="both"/>
      </w:pPr>
      <w:r>
        <w:rPr>
          <w:rFonts w:ascii="Times New Roman" w:cs="Times New Roman" w:eastAsia="Times New Roman" w:hAnsi="Times New Roman"/>
          <w:sz w:val="22"/>
          <w:szCs w:val="22"/>
        </w:rPr>
        <w:t xml:space="preserve">Prepared by: Daniel Okoye, Castlegate Commercial, acting for the landlord</w:t>
      </w:r>
    </w:p>
    <w:p>
      <w:pPr>
        <w:keepNext/>
        <w:spacing w:after="80" w:before="240"/>
        <w:ind w:left="0"/>
      </w:pPr>
      <w:r>
        <w:rPr>
          <w:rFonts w:ascii="Times New Roman" w:cs="Times New Roman" w:eastAsia="Times New Roman" w:hAnsi="Times New Roman"/>
          <w:b/>
          <w:bCs/>
          <w:color w:val="1f2937"/>
          <w:sz w:val="22"/>
          <w:szCs w:val="22"/>
        </w:rPr>
        <w:t xml:space="preserve">1  The parties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500"/>
        <w:gridCol w:w="4500"/>
      </w:tblGrid>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Landlord</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Minster Gate Properties Limited (company number 23456756), registered office 1 Lendal Chambers, York YO1 8AQ</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Landlord’s solicitor</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Harper &amp; Lane LLP, Imogen Varga, 4 Wellington Yard, Leeds LS1 4AP, imogen.varga@harperlane.example, 01632 960 118</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Landlord’s agent</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Castlegate Commercial; Daniel Okoye; daniel.okoye@castlegatecommercial.example; 01632 960 412</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Tenant</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Rowan &amp; Finch Coffee Ltd, company number 23456767, registered office 18 Bootham Terrace, York YO30 7DH</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Tenant’s solicitor</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Brennan Hale Solicitors, Tom Brennan, 2 Stonegate, York YO1 8AS, tom@brennanhale.example, 01632 960 377</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Tenant’s agent</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None</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Guarantor</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Sophie Finch, 18 Bootham Terrace, York YO30 7DH</w:t>
            </w:r>
          </w:p>
        </w:tc>
      </w:tr>
    </w:tbl>
    <w:p>
      <w:pPr>
        <w:keepNext/>
        <w:spacing w:after="80" w:before="240"/>
        <w:ind w:left="0"/>
      </w:pPr>
      <w:r>
        <w:rPr>
          <w:rFonts w:ascii="Times New Roman" w:cs="Times New Roman" w:eastAsia="Times New Roman" w:hAnsi="Times New Roman"/>
          <w:b/>
          <w:bCs/>
          <w:color w:val="1f2937"/>
          <w:sz w:val="22"/>
          <w:szCs w:val="22"/>
        </w:rPr>
        <w:t xml:space="preserve">2  The property</w:t>
      </w:r>
    </w:p>
    <w:p>
      <w:pPr>
        <w:spacing w:after="120" w:line="300"/>
        <w:ind w:left="0"/>
        <w:jc w:val="both"/>
      </w:pPr>
      <w:r>
        <w:rPr>
          <w:rFonts w:ascii="Times New Roman" w:cs="Times New Roman" w:eastAsia="Times New Roman" w:hAnsi="Times New Roman"/>
          <w:sz w:val="22"/>
          <w:szCs w:val="22"/>
        </w:rPr>
        <w:t xml:space="preserve">Address: Unit 3, Northgate Arcade, York YO1 8AB</w:t>
      </w:r>
    </w:p>
    <w:p>
      <w:pPr>
        <w:spacing w:after="120" w:line="300"/>
        <w:ind w:left="0"/>
        <w:jc w:val="both"/>
      </w:pPr>
      <w:r>
        <w:rPr>
          <w:rFonts w:ascii="Times New Roman" w:cs="Times New Roman" w:eastAsia="Times New Roman" w:hAnsi="Times New Roman"/>
          <w:sz w:val="22"/>
          <w:szCs w:val="22"/>
        </w:rPr>
        <w:t xml:space="preserve">Description: Ground floor retail unit of about 1,150 sq ft net internal area</w:t>
      </w:r>
    </w:p>
    <w:p>
      <w:pPr>
        <w:spacing w:after="120" w:line="300"/>
        <w:ind w:left="0"/>
        <w:jc w:val="both"/>
      </w:pPr>
      <w:r>
        <w:rPr>
          <w:rFonts w:ascii="Times New Roman" w:cs="Times New Roman" w:eastAsia="Times New Roman" w:hAnsi="Times New Roman"/>
          <w:sz w:val="22"/>
          <w:szCs w:val="22"/>
        </w:rPr>
        <w:t xml:space="preserve">Rights included: Shared use of the arcade’s rear service yard and bin store</w:t>
      </w:r>
    </w:p>
    <w:p>
      <w:pPr>
        <w:keepNext/>
        <w:spacing w:after="80" w:before="240"/>
        <w:ind w:left="0"/>
      </w:pPr>
      <w:r>
        <w:rPr>
          <w:rFonts w:ascii="Times New Roman" w:cs="Times New Roman" w:eastAsia="Times New Roman" w:hAnsi="Times New Roman"/>
          <w:b/>
          <w:bCs/>
          <w:color w:val="1f2937"/>
          <w:sz w:val="22"/>
          <w:szCs w:val="22"/>
        </w:rPr>
        <w:t xml:space="preserve">3  The lease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500"/>
        <w:gridCol w:w="4500"/>
      </w:tblGrid>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Type</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A new lease of part of the building</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Term</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10 years from completion</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Security of tenure</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The lease will be excluded from the security of tenure provisions of the Landlord and Tenant Act 1954. The landlord will serve the warning notice at least 14 days before the tenant signs the lease or becomes bound to take it, and the tenant will sign the simple declaration before then. If there is less time, the tenant must make a statutory declaration before an independent solicitor or other authorised person instead. The lease will refer to the notice and the declaration.</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Use</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Café, Class E(b)</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Planning</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The landlord confirms the use is lawful.</w:t>
            </w:r>
          </w:p>
        </w:tc>
      </w:tr>
    </w:tbl>
    <w:p>
      <w:pPr>
        <w:keepNext/>
        <w:spacing w:after="80" w:before="240"/>
        <w:ind w:left="0"/>
      </w:pPr>
      <w:r>
        <w:rPr>
          <w:rFonts w:ascii="Times New Roman" w:cs="Times New Roman" w:eastAsia="Times New Roman" w:hAnsi="Times New Roman"/>
          <w:b/>
          <w:bCs/>
          <w:color w:val="1f2937"/>
          <w:sz w:val="22"/>
          <w:szCs w:val="22"/>
        </w:rPr>
        <w:t xml:space="preserve">4  Rent and other payments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500"/>
        <w:gridCol w:w="4500"/>
      </w:tblGrid>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Rent</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£32,500 a year, exclusive of VAT, business rates and service charge</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Payment</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Quarterly in advance on the usual quarter days</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Rent-free period</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4 months from completion, in return for fitting-out works</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Rent review</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On the fifth anniversary, to open market rent, upward only</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VAT</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The landlord has opted to tax the property, so VAT will be added to the rent.</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Service charge</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A fair proportion of the costs of the arcade, estimated at £2,400 for 2027.</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Insurance</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The landlord insures the building and the tenant repays a fair proportion of the premium.</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Business rates and utilities</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Paid by the tenant</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Deposit</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£8,125 (three months' rent) plus VAT, released after 3 years if there are no arrears</w:t>
            </w:r>
          </w:p>
        </w:tc>
      </w:tr>
    </w:tbl>
    <w:p>
      <w:pPr>
        <w:spacing w:after="120" w:line="300"/>
        <w:ind w:left="0"/>
        <w:jc w:val="both"/>
      </w:pPr>
      <w:r>
        <w:rPr>
          <w:rFonts w:ascii="Times New Roman" w:cs="Times New Roman" w:eastAsia="Times New Roman" w:hAnsi="Times New Roman"/>
          <w:sz w:val="22"/>
          <w:szCs w:val="22"/>
        </w:rPr>
        <w:t xml:space="preserve">Rent review and the 2026 Act. The English Devolution and Community Empowerment Act 2026 adds rules on rent reviews to the Landlord and Tenant Act 1954. When they come into force, a rent review in a new business lease cannot set the rent above the open market rent, the index figure or other benchmark the review uses. An upward-only review, or a collar, will then have no effect to that extent. The lease will be granted before those rules come into force.</w:t>
      </w:r>
    </w:p>
    <w:p>
      <w:pPr>
        <w:keepNext/>
        <w:spacing w:after="80" w:before="240"/>
        <w:ind w:left="0"/>
      </w:pPr>
      <w:r>
        <w:rPr>
          <w:rFonts w:ascii="Times New Roman" w:cs="Times New Roman" w:eastAsia="Times New Roman" w:hAnsi="Times New Roman"/>
          <w:b/>
          <w:bCs/>
          <w:color w:val="1f2937"/>
          <w:sz w:val="22"/>
          <w:szCs w:val="22"/>
        </w:rPr>
        <w:t xml:space="preserve">5  Break clause</w:t>
      </w:r>
    </w:p>
    <w:p>
      <w:pPr>
        <w:spacing w:after="120" w:line="300"/>
        <w:ind w:left="0"/>
        <w:jc w:val="both"/>
      </w:pPr>
      <w:r>
        <w:rPr>
          <w:rFonts w:ascii="Times New Roman" w:cs="Times New Roman" w:eastAsia="Times New Roman" w:hAnsi="Times New Roman"/>
          <w:sz w:val="22"/>
          <w:szCs w:val="22"/>
        </w:rPr>
        <w:t xml:space="preserve">The tenant may end the lease on the fifth anniversary of the term start by giving at least 6 months’ written notice.</w:t>
      </w:r>
    </w:p>
    <w:p>
      <w:pPr>
        <w:spacing w:after="120" w:line="300"/>
        <w:ind w:left="360"/>
        <w:jc w:val="both"/>
      </w:pPr>
      <w:r>
        <w:rPr>
          <w:rFonts w:ascii="Times New Roman" w:cs="Times New Roman" w:eastAsia="Times New Roman" w:hAnsi="Times New Roman"/>
          <w:sz w:val="22"/>
          <w:szCs w:val="22"/>
        </w:rPr>
        <w:t xml:space="preserve">For a tenant’s break, the only conditions will be that the rent due up to the break date has been paid, and the tenant gives up occupation.</w:t>
      </w:r>
    </w:p>
    <w:p>
      <w:pPr>
        <w:keepNext/>
        <w:spacing w:after="80" w:before="240"/>
        <w:ind w:left="0"/>
      </w:pPr>
      <w:r>
        <w:rPr>
          <w:rFonts w:ascii="Times New Roman" w:cs="Times New Roman" w:eastAsia="Times New Roman" w:hAnsi="Times New Roman"/>
          <w:b/>
          <w:bCs/>
          <w:color w:val="1f2937"/>
          <w:sz w:val="22"/>
          <w:szCs w:val="22"/>
        </w:rPr>
        <w:t xml:space="preserve">6  Repair and condition</w:t>
      </w:r>
    </w:p>
    <w:p>
      <w:pPr>
        <w:spacing w:after="120" w:line="300"/>
        <w:ind w:left="0"/>
        <w:jc w:val="both"/>
      </w:pPr>
      <w:r>
        <w:rPr>
          <w:rFonts w:ascii="Times New Roman" w:cs="Times New Roman" w:eastAsia="Times New Roman" w:hAnsi="Times New Roman"/>
          <w:sz w:val="22"/>
          <w:szCs w:val="22"/>
        </w:rPr>
        <w:t xml:space="preserve">Internal repairing only: the tenant keeps the inside in repair, and the landlord the structure and exterior, recovered through the service charge.</w:t>
      </w:r>
    </w:p>
    <w:p>
      <w:pPr>
        <w:spacing w:after="120" w:line="300"/>
        <w:ind w:left="360"/>
        <w:jc w:val="both"/>
      </w:pPr>
      <w:r>
        <w:rPr>
          <w:rFonts w:ascii="Times New Roman" w:cs="Times New Roman" w:eastAsia="Times New Roman" w:hAnsi="Times New Roman"/>
          <w:sz w:val="22"/>
          <w:szCs w:val="22"/>
        </w:rPr>
        <w:t xml:space="preserve">The tenant’s repairing obligation is limited by a schedule of condition, to be prepared by the tenant’s surveyor at the tenant's cost and agreed before completion.</w:t>
      </w:r>
    </w:p>
    <w:p>
      <w:pPr>
        <w:spacing w:after="120" w:line="300"/>
        <w:ind w:left="360"/>
        <w:jc w:val="both"/>
      </w:pPr>
      <w:r>
        <w:rPr>
          <w:rFonts w:ascii="Times New Roman" w:cs="Times New Roman" w:eastAsia="Times New Roman" w:hAnsi="Times New Roman"/>
          <w:sz w:val="22"/>
          <w:szCs w:val="22"/>
        </w:rPr>
        <w:t xml:space="preserve">Works before completion: None.</w:t>
      </w:r>
    </w:p>
    <w:p>
      <w:pPr>
        <w:spacing w:after="120" w:line="300"/>
        <w:ind w:left="360"/>
        <w:jc w:val="both"/>
      </w:pPr>
      <w:r>
        <w:rPr>
          <w:rFonts w:ascii="Times New Roman" w:cs="Times New Roman" w:eastAsia="Times New Roman" w:hAnsi="Times New Roman"/>
          <w:sz w:val="22"/>
          <w:szCs w:val="22"/>
        </w:rPr>
        <w:t xml:space="preserve">Energy performance: The landlord will provide an EPC. The property meets the current minimum energy efficiency standard, B, or an exemption is registered.</w:t>
      </w:r>
    </w:p>
    <w:p>
      <w:pPr>
        <w:keepNext/>
        <w:spacing w:after="80" w:before="240"/>
        <w:ind w:left="0"/>
      </w:pPr>
      <w:r>
        <w:rPr>
          <w:rFonts w:ascii="Times New Roman" w:cs="Times New Roman" w:eastAsia="Times New Roman" w:hAnsi="Times New Roman"/>
          <w:b/>
          <w:bCs/>
          <w:color w:val="1f2937"/>
          <w:sz w:val="22"/>
          <w:szCs w:val="22"/>
        </w:rPr>
        <w:t xml:space="preserve">7  Alterations, signs and sharing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500"/>
        <w:gridCol w:w="4500"/>
      </w:tblGrid>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Alterations</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Internal non-structural alterations allowed without consent; others with consent, not to be unreasonably withheld</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Signs</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Signs on the shopfront with consent, not to be unreasonably withheld</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Assignment</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Of the whole only, with consent, not to be unreasonably withheld and with an authorised guarantee agreement where reasonable</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Subletting</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Not allowed</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Group sharing</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Allowed with companies in the tenant's group, without consent</w:t>
            </w:r>
          </w:p>
        </w:tc>
      </w:tr>
      <w:tr>
        <w:trPr>
          <w:tblHeader w:val="off"/>
        </w:trPr>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Reinstatement</w:t>
            </w:r>
          </w:p>
        </w:tc>
        <w:tc>
          <w:tcPr>
            <w:tcW w:type="pct" w:w="250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The tenant removes its alterations at the end of the lease if the landlord asks</w:t>
            </w:r>
          </w:p>
        </w:tc>
      </w:tr>
    </w:tbl>
    <w:p>
      <w:pPr>
        <w:keepNext/>
        <w:spacing w:after="80" w:before="240"/>
        <w:ind w:left="0"/>
      </w:pPr>
      <w:r>
        <w:rPr>
          <w:rFonts w:ascii="Times New Roman" w:cs="Times New Roman" w:eastAsia="Times New Roman" w:hAnsi="Times New Roman"/>
          <w:b/>
          <w:bCs/>
          <w:color w:val="1f2937"/>
          <w:sz w:val="22"/>
          <w:szCs w:val="22"/>
        </w:rPr>
        <w:t xml:space="preserve">8  Conditions and timing</w:t>
      </w:r>
    </w:p>
    <w:p>
      <w:pPr>
        <w:spacing w:after="120" w:line="300"/>
        <w:ind w:left="0"/>
        <w:jc w:val="both"/>
      </w:pPr>
      <w:r>
        <w:rPr>
          <w:rFonts w:ascii="Times New Roman" w:cs="Times New Roman" w:eastAsia="Times New Roman" w:hAnsi="Times New Roman"/>
          <w:sz w:val="22"/>
          <w:szCs w:val="22"/>
        </w:rPr>
        <w:t xml:space="preserve">The lease is conditional on:</w:t>
      </w:r>
    </w:p>
    <w:p>
      <w:pPr>
        <w:pStyle w:val="ListParagraph"/>
        <w:numPr>
          <w:ilvl w:val="0"/>
          <w:numId w:val="1"/>
        </w:numPr>
        <w:ind w:left="720" w:hanging="360"/>
      </w:pPr>
      <w:r>
        <w:rPr>
          <w:rFonts w:ascii="Times New Roman" w:cs="Times New Roman" w:eastAsia="Times New Roman" w:hAnsi="Times New Roman"/>
          <w:sz w:val="22"/>
          <w:szCs w:val="22"/>
        </w:rPr>
        <w:t xml:space="preserve">Satisfactory references</w:t>
      </w:r>
    </w:p>
    <w:p>
      <w:pPr>
        <w:pStyle w:val="ListParagraph"/>
        <w:numPr>
          <w:ilvl w:val="0"/>
          <w:numId w:val="1"/>
        </w:numPr>
        <w:ind w:left="720" w:hanging="360"/>
      </w:pPr>
      <w:r>
        <w:rPr>
          <w:rFonts w:ascii="Times New Roman" w:cs="Times New Roman" w:eastAsia="Times New Roman" w:hAnsi="Times New Roman"/>
          <w:sz w:val="22"/>
          <w:szCs w:val="22"/>
        </w:rPr>
        <w:t xml:space="preserve">Landlord's lender consent</w:t>
      </w:r>
    </w:p>
    <w:p>
      <w:pPr>
        <w:spacing w:after="120" w:line="300"/>
        <w:ind w:left="360"/>
        <w:jc w:val="both"/>
      </w:pPr>
      <w:r>
        <w:rPr>
          <w:rFonts w:ascii="Times New Roman" w:cs="Times New Roman" w:eastAsia="Times New Roman" w:hAnsi="Times New Roman"/>
          <w:sz w:val="22"/>
          <w:szCs w:val="22"/>
        </w:rPr>
        <w:t xml:space="preserve">Target completion date: 13 November 2026</w:t>
      </w:r>
    </w:p>
    <w:p>
      <w:pPr>
        <w:spacing w:after="120" w:line="300"/>
        <w:ind w:left="360"/>
        <w:jc w:val="both"/>
      </w:pPr>
      <w:r>
        <w:rPr>
          <w:rFonts w:ascii="Times New Roman" w:cs="Times New Roman" w:eastAsia="Times New Roman" w:hAnsi="Times New Roman"/>
          <w:sz w:val="22"/>
          <w:szCs w:val="22"/>
        </w:rPr>
        <w:t xml:space="preserve">Access before completion: Access for fitting out from 2 November 2026, under a licence.</w:t>
      </w:r>
    </w:p>
    <w:p>
      <w:pPr>
        <w:keepNext/>
        <w:spacing w:after="80" w:before="240"/>
        <w:ind w:left="0"/>
      </w:pPr>
      <w:r>
        <w:rPr>
          <w:rFonts w:ascii="Times New Roman" w:cs="Times New Roman" w:eastAsia="Times New Roman" w:hAnsi="Times New Roman"/>
          <w:b/>
          <w:bCs/>
          <w:color w:val="1f2937"/>
          <w:sz w:val="22"/>
          <w:szCs w:val="22"/>
        </w:rPr>
        <w:t xml:space="preserve">9  Costs</w:t>
      </w:r>
    </w:p>
    <w:p>
      <w:pPr>
        <w:spacing w:after="120" w:line="300"/>
        <w:ind w:left="0"/>
        <w:jc w:val="both"/>
      </w:pPr>
      <w:r>
        <w:rPr>
          <w:rFonts w:ascii="Times New Roman" w:cs="Times New Roman" w:eastAsia="Times New Roman" w:hAnsi="Times New Roman"/>
          <w:sz w:val="22"/>
          <w:szCs w:val="22"/>
        </w:rPr>
        <w:t xml:space="preserve">The tenant pays up to £1,500 towards the landlord’s legal costs plus VAT.</w:t>
      </w:r>
    </w:p>
    <w:p>
      <w:pPr>
        <w:spacing w:after="120" w:line="300"/>
        <w:ind w:left="0"/>
        <w:jc w:val="both"/>
      </w:pPr>
      <w:r>
        <w:rPr>
          <w:rFonts w:ascii="Times New Roman" w:cs="Times New Roman" w:eastAsia="Times New Roman" w:hAnsi="Times New Roman"/>
          <w:sz w:val="22"/>
          <w:szCs w:val="22"/>
        </w:rPr>
        <w:t xml:space="preserve">The tenant is responsible for any Stamp Duty Land Tax and Land Registry fees on the lease.</w:t>
      </w:r>
    </w:p>
    <w:p>
      <w:pPr>
        <w:keepNext/>
        <w:spacing w:after="80" w:before="240"/>
        <w:ind w:left="0"/>
      </w:pPr>
      <w:r>
        <w:rPr>
          <w:rFonts w:ascii="Times New Roman" w:cs="Times New Roman" w:eastAsia="Times New Roman" w:hAnsi="Times New Roman"/>
          <w:b/>
          <w:bCs/>
          <w:color w:val="1f2937"/>
          <w:sz w:val="22"/>
          <w:szCs w:val="22"/>
        </w:rPr>
        <w:t xml:space="preserve">10  Other terms</w:t>
      </w:r>
    </w:p>
    <w:p>
      <w:pPr>
        <w:spacing w:after="120" w:line="300"/>
        <w:ind w:left="360"/>
        <w:jc w:val="both"/>
      </w:pPr>
      <w:r>
        <w:rPr>
          <w:rFonts w:ascii="Times New Roman" w:cs="Times New Roman" w:eastAsia="Times New Roman" w:hAnsi="Times New Roman"/>
          <w:sz w:val="22"/>
          <w:szCs w:val="22"/>
        </w:rPr>
        <w:t xml:space="preserve">Exclusivity. In return for the tenant paying the landlord £1 (receipt of which the landlord acknowledges) and agreeing to instruct solicitors within 5 days and proceed promptly, the landlord will not market the property or negotiate with anyone else for 4 weeks from the date of these heads of terms. This paragraph is binding.</w:t>
      </w:r>
    </w:p>
    <w:p>
      <w:pPr>
        <w:spacing w:after="120" w:line="300"/>
        <w:ind w:left="360"/>
        <w:jc w:val="both"/>
      </w:pPr>
      <w:r>
        <w:rPr>
          <w:rFonts w:ascii="Times New Roman" w:cs="Times New Roman" w:eastAsia="Times New Roman" w:hAnsi="Times New Roman"/>
          <w:sz w:val="22"/>
          <w:szCs w:val="22"/>
        </w:rPr>
        <w:t xml:space="preserve">Confidentiality. Both parties will keep the terms of these heads of terms confidential, except to their advisers, lenders and anyone who needs to know for the transaction. Nothing in this paragraph stops anyone reporting a suspected crime to the police or another law enforcement body, making a disclosure to a regulator, seeking legal advice, or making any other disclosure that the law protects. This paragraph is binding.</w:t>
      </w:r>
    </w:p>
    <w:p>
      <w:pPr>
        <w:keepNext/>
        <w:spacing w:after="80" w:before="240"/>
        <w:ind w:left="0"/>
      </w:pPr>
      <w:r>
        <w:rPr>
          <w:rFonts w:ascii="Times New Roman" w:cs="Times New Roman" w:eastAsia="Times New Roman" w:hAnsi="Times New Roman"/>
          <w:b/>
          <w:bCs/>
          <w:color w:val="1f2937"/>
          <w:sz w:val="22"/>
          <w:szCs w:val="22"/>
        </w:rPr>
        <w:t xml:space="preserve">Before you sign</w:t>
      </w:r>
    </w:p>
    <w:p>
      <w:pPr>
        <w:spacing w:after="120" w:line="300"/>
        <w:ind w:left="0"/>
        <w:jc w:val="both"/>
      </w:pPr>
      <w:r>
        <w:rPr>
          <w:rFonts w:ascii="Times New Roman" w:cs="Times New Roman" w:eastAsia="Times New Roman" w:hAnsi="Times New Roman"/>
          <w:sz w:val="22"/>
          <w:szCs w:val="22"/>
        </w:rPr>
        <w:t xml:space="preserve">Both parties should take advice from a solicitor and a property adviser before the lease is completed. The Code for leasing business premises sets out what landlords and tenants can expect in lease negotiations.</w:t>
      </w:r>
    </w:p>
    <w:p>
      <w:pPr>
        <w:keepNext/>
        <w:spacing w:after="80" w:before="240"/>
        <w:ind w:left="0"/>
      </w:pPr>
      <w:r>
        <w:rPr>
          <w:rFonts w:ascii="Times New Roman" w:cs="Times New Roman" w:eastAsia="Times New Roman" w:hAnsi="Times New Roman"/>
          <w:b/>
          <w:bCs/>
          <w:color w:val="1f2937"/>
          <w:sz w:val="22"/>
          <w:szCs w:val="22"/>
        </w:rPr>
        <w:t xml:space="preserve">Signatures</w:t>
      </w:r>
    </w:p>
    <w:p>
      <w:pPr>
        <w:spacing w:after="120" w:line="300"/>
        <w:ind w:left="0"/>
        <w:jc w:val="both"/>
      </w:pPr>
      <w:r>
        <w:rPr>
          <w:rFonts w:ascii="Times New Roman" w:cs="Times New Roman" w:eastAsia="Times New Roman" w:hAnsi="Times New Roman"/>
          <w:sz w:val="22"/>
          <w:szCs w:val="22"/>
        </w:rPr>
        <w:t xml:space="preserve">Signed to confirm agreement in principle, subject to contract.</w:t>
      </w:r>
    </w:p>
    <w:p>
      <w:pPr>
        <w:keepNext/>
        <w:spacing w:after="80" w:before="240"/>
        <w:ind w:left="0"/>
      </w:pPr>
      <w:r>
        <w:rPr>
          <w:rFonts w:ascii="Times New Roman" w:cs="Times New Roman" w:eastAsia="Times New Roman" w:hAnsi="Times New Roman"/>
          <w:b/>
          <w:bCs/>
          <w:color w:val="1f2937"/>
          <w:sz w:val="22"/>
          <w:szCs w:val="22"/>
        </w:rPr>
        <w:t xml:space="preserve">For the landlord</w:t>
      </w:r>
    </w:p>
    <w:p>
      <w:pPr>
        <w:spacing w:after="120" w:line="300"/>
        <w:ind w:left="0"/>
        <w:jc w:val="both"/>
      </w:pPr>
      <w:r>
        <w:rPr>
          <w:rFonts w:ascii="Times New Roman" w:cs="Times New Roman" w:eastAsia="Times New Roman" w:hAnsi="Times New Roman"/>
          <w:sz w:val="22"/>
          <w:szCs w:val="22"/>
        </w:rPr>
        <w:t xml:space="preserve">Name: Margaret Ellwood, Property Director  Signature: ______________________  Date: ______________</w:t>
      </w:r>
    </w:p>
    <w:p>
      <w:pPr>
        <w:keepNext/>
        <w:spacing w:after="80" w:before="240"/>
        <w:ind w:left="0"/>
      </w:pPr>
      <w:r>
        <w:rPr>
          <w:rFonts w:ascii="Times New Roman" w:cs="Times New Roman" w:eastAsia="Times New Roman" w:hAnsi="Times New Roman"/>
          <w:b/>
          <w:bCs/>
          <w:color w:val="1f2937"/>
          <w:sz w:val="22"/>
          <w:szCs w:val="22"/>
        </w:rPr>
        <w:t xml:space="preserve">For the tenant</w:t>
      </w:r>
    </w:p>
    <w:p>
      <w:pPr>
        <w:spacing w:after="120" w:line="300"/>
        <w:ind w:left="0"/>
        <w:jc w:val="both"/>
      </w:pPr>
      <w:r>
        <w:rPr>
          <w:rFonts w:ascii="Times New Roman" w:cs="Times New Roman" w:eastAsia="Times New Roman" w:hAnsi="Times New Roman"/>
          <w:sz w:val="22"/>
          <w:szCs w:val="22"/>
        </w:rPr>
        <w:t xml:space="preserve">Name: Sophie Finch, Director  Signature: ______________________  Date: ______________</w:t>
      </w:r>
    </w:p>
    <w:sectPr>
      <w:footerReference w:type="default" r:id="rId6"/>
      <w:pgSz w:w="11906" w:h="16838" w:orient="portrait"/>
      <w:pgMar w:top="1417" w:right="1417" w:bottom="1417" w:left="141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66666"/>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3 Northgate Arcade: heads of terms</dc:title>
  <dc:creator>DocuWeave</dc:creator>
  <cp:lastModifiedBy>Un-named</cp:lastModifiedBy>
  <cp:revision>1</cp:revision>
  <dcterms:created xsi:type="dcterms:W3CDTF">2026-10-07T12:31:54.407Z</dcterms:created>
  <dcterms:modified xsi:type="dcterms:W3CDTF">2026-10-07T12:31:54.407Z</dcterms:modified>
</cp:coreProperties>
</file>

<file path=docProps/custom.xml><?xml version="1.0" encoding="utf-8"?>
<Properties xmlns="http://schemas.openxmlformats.org/officeDocument/2006/custom-properties" xmlns:vt="http://schemas.openxmlformats.org/officeDocument/2006/docPropsVTypes"/>
</file>