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Mutual Non-Disclosure Agreement</w:t>
      </w:r>
    </w:p>
    <w:p>
      <w:pPr>
        <w:spacing w:after="120" w:line="300"/>
        <w:ind w:left="0"/>
        <w:jc w:val="both"/>
      </w:pPr>
      <w:r>
        <w:rPr>
          <w:rFonts w:ascii="Times New Roman" w:cs="Times New Roman" w:eastAsia="Times New Roman" w:hAnsi="Times New Roman"/>
          <w:sz w:val="22"/>
          <w:szCs w:val="22"/>
        </w:rPr>
        <w:t xml:space="preserve">This Agreement is dated 6 October 2026 and is made between:</w:t>
      </w:r>
    </w:p>
    <w:p>
      <w:pPr>
        <w:keepNext/>
        <w:spacing w:after="80" w:before="240"/>
        <w:ind w:left="0"/>
      </w:pPr>
      <w:r>
        <w:rPr>
          <w:rFonts w:ascii="Times New Roman" w:cs="Times New Roman" w:eastAsia="Times New Roman" w:hAnsi="Times New Roman"/>
          <w:b/>
          <w:bCs/>
          <w:color w:val="1f2937"/>
          <w:sz w:val="22"/>
          <w:szCs w:val="22"/>
        </w:rPr>
        <w:t xml:space="preserve">Parties</w:t>
      </w:r>
    </w:p>
    <w:p>
      <w:pPr>
        <w:spacing w:after="120" w:line="300"/>
        <w:ind w:left="0"/>
        <w:jc w:val="both"/>
      </w:pPr>
      <w:r>
        <w:rPr>
          <w:rFonts w:ascii="Times New Roman" w:cs="Times New Roman" w:eastAsia="Times New Roman" w:hAnsi="Times New Roman"/>
          <w:sz w:val="22"/>
          <w:szCs w:val="22"/>
        </w:rPr>
        <w:t xml:space="preserve">(1) Fenwick Robotics Ltd, a company registered in England and Wales under company number 12345670 whose registered office is at Unit 4, Calder Business Park, Wakefield WF2 7AY; and</w:t>
      </w:r>
    </w:p>
    <w:p>
      <w:pPr>
        <w:spacing w:after="120" w:line="300"/>
        <w:ind w:left="0"/>
        <w:jc w:val="both"/>
      </w:pPr>
      <w:r>
        <w:rPr>
          <w:rFonts w:ascii="Times New Roman" w:cs="Times New Roman" w:eastAsia="Times New Roman" w:hAnsi="Times New Roman"/>
          <w:sz w:val="22"/>
          <w:szCs w:val="22"/>
        </w:rPr>
        <w:t xml:space="preserve">(2) Brightmoor Analytics Ltd, a company registered in England and Wales under company number 76543210 whose registered office is at 3rd Floor, 88 Deansgate, Manchester M3 2ER.</w:t>
      </w:r>
    </w:p>
    <w:p>
      <w:pPr>
        <w:keepNext/>
        <w:spacing w:after="80" w:before="240"/>
        <w:ind w:left="0"/>
      </w:pPr>
      <w:r>
        <w:rPr>
          <w:rFonts w:ascii="Times New Roman" w:cs="Times New Roman" w:eastAsia="Times New Roman" w:hAnsi="Times New Roman"/>
          <w:b/>
          <w:bCs/>
          <w:color w:val="1f2937"/>
          <w:sz w:val="22"/>
          <w:szCs w:val="22"/>
        </w:rPr>
        <w:t xml:space="preserve">1  Purpose and Confidential Information</w:t>
      </w:r>
    </w:p>
    <w:p>
      <w:pPr>
        <w:spacing w:after="120" w:line="300"/>
        <w:ind w:left="0"/>
        <w:jc w:val="both"/>
      </w:pPr>
      <w:r>
        <w:rPr>
          <w:rFonts w:ascii="Times New Roman" w:cs="Times New Roman" w:eastAsia="Times New Roman" w:hAnsi="Times New Roman"/>
          <w:sz w:val="22"/>
          <w:szCs w:val="22"/>
        </w:rPr>
        <w:t xml:space="preserve">Each of the parties to this Agreement intends to disclose information (the Confidential Information) to the other party for the purpose of evaluating a joint bid for the Project Kestrel warehouse-automation pilot, including sharing technical data, pricing and forecasting models (the Purpose).</w:t>
      </w:r>
    </w:p>
    <w:p>
      <w:pPr>
        <w:keepNext/>
        <w:spacing w:after="80" w:before="240"/>
        <w:ind w:left="0"/>
      </w:pPr>
      <w:r>
        <w:rPr>
          <w:rFonts w:ascii="Times New Roman" w:cs="Times New Roman" w:eastAsia="Times New Roman" w:hAnsi="Times New Roman"/>
          <w:b/>
          <w:bCs/>
          <w:color w:val="1f2937"/>
          <w:sz w:val="22"/>
          <w:szCs w:val="22"/>
        </w:rPr>
        <w:t xml:space="preserve">2  Recipient Definition</w:t>
      </w:r>
    </w:p>
    <w:p>
      <w:pPr>
        <w:spacing w:after="120" w:line="300"/>
        <w:ind w:left="0"/>
        <w:jc w:val="both"/>
      </w:pPr>
      <w:r>
        <w:rPr>
          <w:rFonts w:ascii="Times New Roman" w:cs="Times New Roman" w:eastAsia="Times New Roman" w:hAnsi="Times New Roman"/>
          <w:sz w:val="22"/>
          <w:szCs w:val="22"/>
        </w:rPr>
        <w:t xml:space="preserve">Each party to this Agreement is referred to as ‘the Recipient’ when it receives or uses the Confidential Information disclosed by the other party.</w:t>
      </w:r>
    </w:p>
    <w:p>
      <w:pPr>
        <w:keepNext/>
        <w:spacing w:after="80" w:before="240"/>
        <w:ind w:left="0"/>
      </w:pPr>
      <w:r>
        <w:rPr>
          <w:rFonts w:ascii="Times New Roman" w:cs="Times New Roman" w:eastAsia="Times New Roman" w:hAnsi="Times New Roman"/>
          <w:b/>
          <w:bCs/>
          <w:color w:val="1f2937"/>
          <w:sz w:val="22"/>
          <w:szCs w:val="22"/>
        </w:rPr>
        <w:t xml:space="preserve">3  Restriction on Use</w:t>
      </w:r>
    </w:p>
    <w:p>
      <w:pPr>
        <w:spacing w:after="120" w:line="300"/>
        <w:ind w:left="0"/>
        <w:jc w:val="both"/>
      </w:pPr>
      <w:r>
        <w:rPr>
          <w:rFonts w:ascii="Times New Roman" w:cs="Times New Roman" w:eastAsia="Times New Roman" w:hAnsi="Times New Roman"/>
          <w:sz w:val="22"/>
          <w:szCs w:val="22"/>
        </w:rPr>
        <w:t xml:space="preserve">The Recipient undertakes not to use the Confidential Information disclosed by the other party for any purpose except the Purpose, without first obtaining the written agreement of the other party.</w:t>
      </w:r>
    </w:p>
    <w:p>
      <w:pPr>
        <w:keepNext/>
        <w:spacing w:after="80" w:before="240"/>
        <w:ind w:left="0"/>
      </w:pPr>
      <w:r>
        <w:rPr>
          <w:rFonts w:ascii="Times New Roman" w:cs="Times New Roman" w:eastAsia="Times New Roman" w:hAnsi="Times New Roman"/>
          <w:b/>
          <w:bCs/>
          <w:color w:val="1f2937"/>
          <w:sz w:val="22"/>
          <w:szCs w:val="22"/>
        </w:rPr>
        <w:t xml:space="preserve">4  Confidentiality and Non-Disclosure</w:t>
      </w:r>
    </w:p>
    <w:p>
      <w:pPr>
        <w:spacing w:after="120" w:line="300"/>
        <w:ind w:left="0"/>
        <w:jc w:val="both"/>
      </w:pPr>
      <w:r>
        <w:rPr>
          <w:rFonts w:ascii="Times New Roman" w:cs="Times New Roman" w:eastAsia="Times New Roman" w:hAnsi="Times New Roman"/>
          <w:sz w:val="22"/>
          <w:szCs w:val="22"/>
        </w:rPr>
        <w:t xml:space="preserve">The Recipient undertakes to keep the Confidential Information disclosed by the other party secure and not to disclose it to any third party except to its employees and professional advisers who need to know the same for the Purpose, who know they owe a duty of confidence to the other party and who are bound by obligations equivalent to those in clause 3 above and this clause 4.</w:t>
      </w:r>
    </w:p>
    <w:p>
      <w:pPr>
        <w:keepNext/>
        <w:spacing w:after="80" w:before="240"/>
        <w:ind w:left="0"/>
      </w:pPr>
      <w:r>
        <w:rPr>
          <w:rFonts w:ascii="Times New Roman" w:cs="Times New Roman" w:eastAsia="Times New Roman" w:hAnsi="Times New Roman"/>
          <w:b/>
          <w:bCs/>
          <w:color w:val="1f2937"/>
          <w:sz w:val="22"/>
          <w:szCs w:val="22"/>
        </w:rPr>
        <w:t xml:space="preserve">5  Scope of Undertakings and Exceptions</w:t>
      </w:r>
    </w:p>
    <w:p>
      <w:pPr>
        <w:spacing w:after="120" w:line="300"/>
        <w:ind w:left="0"/>
        <w:jc w:val="both"/>
      </w:pPr>
      <w:r>
        <w:rPr>
          <w:rFonts w:ascii="Times New Roman" w:cs="Times New Roman" w:eastAsia="Times New Roman" w:hAnsi="Times New Roman"/>
          <w:sz w:val="22"/>
          <w:szCs w:val="22"/>
        </w:rPr>
        <w:t xml:space="preserve">The undertakings in clauses 3 and 4 above apply to all of the information disclosed by each of the parties to the other, regardless of the way or form in which it is disclosed or recorded but they do not apply to:</w:t>
      </w:r>
    </w:p>
    <w:p>
      <w:pPr>
        <w:spacing w:after="120" w:line="300"/>
        <w:ind w:left="0"/>
        <w:jc w:val="both"/>
      </w:pPr>
      <w:r>
        <w:rPr>
          <w:rFonts w:ascii="Times New Roman" w:cs="Times New Roman" w:eastAsia="Times New Roman" w:hAnsi="Times New Roman"/>
          <w:sz w:val="22"/>
          <w:szCs w:val="22"/>
        </w:rPr>
        <w:t xml:space="preserve">a) any information which is or in future comes into the public domain (unless as a result of the breach of this Agreement); or b) any information which is already known to the Recipient and which was not subject to any obligation of confidence before it was disclosed to the Recipient by the other party.</w:t>
      </w:r>
    </w:p>
    <w:p>
      <w:pPr>
        <w:keepNext/>
        <w:spacing w:after="80" w:before="240"/>
        <w:ind w:left="0"/>
      </w:pPr>
      <w:r>
        <w:rPr>
          <w:rFonts w:ascii="Times New Roman" w:cs="Times New Roman" w:eastAsia="Times New Roman" w:hAnsi="Times New Roman"/>
          <w:b/>
          <w:bCs/>
          <w:color w:val="1f2937"/>
          <w:sz w:val="22"/>
          <w:szCs w:val="22"/>
        </w:rPr>
        <w:t xml:space="preserve">6  Legally Required Disclosure</w:t>
      </w:r>
    </w:p>
    <w:p>
      <w:pPr>
        <w:spacing w:after="120" w:line="300"/>
        <w:ind w:left="0"/>
        <w:jc w:val="both"/>
      </w:pPr>
      <w:r>
        <w:rPr>
          <w:rFonts w:ascii="Times New Roman" w:cs="Times New Roman" w:eastAsia="Times New Roman" w:hAnsi="Times New Roman"/>
          <w:sz w:val="22"/>
          <w:szCs w:val="22"/>
        </w:rPr>
        <w:t xml:space="preserve">Nothing in this Agreement will prevent the Recipient from making any disclosure of the Confidential Information required by law or by any competent authority.</w:t>
      </w:r>
    </w:p>
    <w:p>
      <w:pPr>
        <w:keepNext/>
        <w:spacing w:after="80" w:before="240"/>
        <w:ind w:left="0"/>
      </w:pPr>
      <w:r>
        <w:rPr>
          <w:rFonts w:ascii="Times New Roman" w:cs="Times New Roman" w:eastAsia="Times New Roman" w:hAnsi="Times New Roman"/>
          <w:b/>
          <w:bCs/>
          <w:color w:val="1f2937"/>
          <w:sz w:val="22"/>
          <w:szCs w:val="22"/>
        </w:rPr>
        <w:t xml:space="preserve">7  Return of Information</w:t>
      </w:r>
    </w:p>
    <w:p>
      <w:pPr>
        <w:spacing w:after="120" w:line="300"/>
        <w:ind w:left="0"/>
        <w:jc w:val="both"/>
      </w:pPr>
      <w:r>
        <w:rPr>
          <w:rFonts w:ascii="Times New Roman" w:cs="Times New Roman" w:eastAsia="Times New Roman" w:hAnsi="Times New Roman"/>
          <w:sz w:val="22"/>
          <w:szCs w:val="22"/>
        </w:rPr>
        <w:t xml:space="preserve">The Recipient will, on request from the other party, return all copies and records of the Confidential Information disclosed by the other party to the Recipient and will not retain any copies or records of the Confidential Information disclosed by the other party.</w:t>
      </w:r>
    </w:p>
    <w:p>
      <w:pPr>
        <w:keepNext/>
        <w:spacing w:after="80" w:before="240"/>
        <w:ind w:left="0"/>
      </w:pPr>
      <w:r>
        <w:rPr>
          <w:rFonts w:ascii="Times New Roman" w:cs="Times New Roman" w:eastAsia="Times New Roman" w:hAnsi="Times New Roman"/>
          <w:b/>
          <w:bCs/>
          <w:color w:val="1f2937"/>
          <w:sz w:val="22"/>
          <w:szCs w:val="22"/>
        </w:rPr>
        <w:t xml:space="preserve">8  Intellectual Property</w:t>
      </w:r>
    </w:p>
    <w:p>
      <w:pPr>
        <w:spacing w:after="120" w:line="300"/>
        <w:ind w:left="0"/>
        <w:jc w:val="both"/>
      </w:pPr>
      <w:r>
        <w:rPr>
          <w:rFonts w:ascii="Times New Roman" w:cs="Times New Roman" w:eastAsia="Times New Roman" w:hAnsi="Times New Roman"/>
          <w:sz w:val="22"/>
          <w:szCs w:val="22"/>
        </w:rPr>
        <w:t xml:space="preserve">Neither this Agreement nor the supply of any information grants the Recipient any licence, interest or right in respect of any intellectual property rights of the other party except the right to copy the Confidential Information disclosed by the other party solely for the Purpose.</w:t>
      </w:r>
    </w:p>
    <w:p>
      <w:pPr>
        <w:keepNext/>
        <w:spacing w:after="80" w:before="240"/>
        <w:ind w:left="0"/>
      </w:pPr>
      <w:r>
        <w:rPr>
          <w:rFonts w:ascii="Times New Roman" w:cs="Times New Roman" w:eastAsia="Times New Roman" w:hAnsi="Times New Roman"/>
          <w:b/>
          <w:bCs/>
          <w:color w:val="1f2937"/>
          <w:sz w:val="22"/>
          <w:szCs w:val="22"/>
        </w:rPr>
        <w:t xml:space="preserve">9  Duration of Undertakings</w:t>
      </w:r>
    </w:p>
    <w:p>
      <w:pPr>
        <w:spacing w:after="120" w:line="300"/>
        <w:ind w:left="0"/>
        <w:jc w:val="both"/>
      </w:pPr>
      <w:r>
        <w:rPr>
          <w:rFonts w:ascii="Times New Roman" w:cs="Times New Roman" w:eastAsia="Times New Roman" w:hAnsi="Times New Roman"/>
          <w:sz w:val="22"/>
          <w:szCs w:val="22"/>
        </w:rPr>
        <w:t xml:space="preserve">The undertakings in clauses 3 and 4 will continue in force for 3 years from the date of this Agreement.</w:t>
      </w:r>
    </w:p>
    <w:p>
      <w:pPr>
        <w:keepNext/>
        <w:spacing w:after="80" w:before="240"/>
        <w:ind w:left="0"/>
      </w:pPr>
      <w:r>
        <w:rPr>
          <w:rFonts w:ascii="Times New Roman" w:cs="Times New Roman" w:eastAsia="Times New Roman" w:hAnsi="Times New Roman"/>
          <w:b/>
          <w:bCs/>
          <w:color w:val="1f2937"/>
          <w:sz w:val="22"/>
          <w:szCs w:val="22"/>
        </w:rPr>
        <w:t xml:space="preserve">10  Governing Law</w:t>
      </w:r>
    </w:p>
    <w:p>
      <w:pPr>
        <w:spacing w:after="120" w:line="300"/>
        <w:ind w:left="0"/>
        <w:jc w:val="both"/>
      </w:pPr>
      <w:r>
        <w:rPr>
          <w:rFonts w:ascii="Times New Roman" w:cs="Times New Roman" w:eastAsia="Times New Roman" w:hAnsi="Times New Roman"/>
          <w:sz w:val="22"/>
          <w:szCs w:val="22"/>
        </w:rPr>
        <w:t xml:space="preserve">This Agreement is governed by, and is to be construed in accordance with, English law.</w:t>
      </w:r>
    </w:p>
    <w:p>
      <w:pPr>
        <w:keepNext/>
        <w:spacing w:after="80" w:before="240"/>
        <w:ind w:left="0"/>
      </w:pPr>
      <w:r>
        <w:rPr>
          <w:rFonts w:ascii="Times New Roman" w:cs="Times New Roman" w:eastAsia="Times New Roman" w:hAnsi="Times New Roman"/>
          <w:b/>
          <w:bCs/>
          <w:color w:val="1f2937"/>
          <w:sz w:val="22"/>
          <w:szCs w:val="22"/>
        </w:rPr>
        <w:t xml:space="preserve">11  Jurisdiction</w:t>
      </w:r>
    </w:p>
    <w:p>
      <w:pPr>
        <w:spacing w:after="120" w:line="300"/>
        <w:ind w:left="0"/>
        <w:jc w:val="both"/>
      </w:pPr>
      <w:r>
        <w:rPr>
          <w:rFonts w:ascii="Times New Roman" w:cs="Times New Roman" w:eastAsia="Times New Roman" w:hAnsi="Times New Roman"/>
          <w:sz w:val="22"/>
          <w:szCs w:val="22"/>
        </w:rPr>
        <w:t xml:space="preserve">The English Courts will have non-exclusive jurisdiction to deal with any dispute which has arisen or may arise out of, or in connection with, this Agreement.</w:t>
      </w:r>
    </w:p>
    <w:p>
      <w:pPr>
        <w:keepNext/>
        <w:spacing w:after="80" w:before="240"/>
        <w:ind w:left="0"/>
      </w:pPr>
      <w:r>
        <w:rPr>
          <w:rFonts w:ascii="Times New Roman" w:cs="Times New Roman" w:eastAsia="Times New Roman" w:hAnsi="Times New Roman"/>
          <w:b/>
          <w:bCs/>
          <w:color w:val="1f2937"/>
          <w:sz w:val="22"/>
          <w:szCs w:val="22"/>
        </w:rPr>
        <w:t xml:space="preserve">Signatures</w:t>
      </w:r>
    </w:p>
    <w:p>
      <w:pPr>
        <w:spacing w:after="120" w:line="300"/>
        <w:ind w:left="0"/>
        <w:jc w:val="both"/>
      </w:pPr>
      <w:r>
        <w:rPr>
          <w:rFonts w:ascii="Times New Roman" w:cs="Times New Roman" w:eastAsia="Times New Roman" w:hAnsi="Times New Roman"/>
          <w:sz w:val="22"/>
          <w:szCs w:val="22"/>
        </w:rPr>
        <w:t xml:space="preserve">Signed on behalf of Fenwick Robotics Ltd by its duly authorised representative:</w:t>
      </w:r>
    </w:p>
    <w:p>
      <w:pPr>
        <w:spacing w:after="120" w:line="300"/>
        <w:ind w:left="0"/>
        <w:jc w:val="both"/>
      </w:pPr>
      <w:r>
        <w:rPr>
          <w:rFonts w:ascii="Times New Roman" w:cs="Times New Roman" w:eastAsia="Times New Roman" w:hAnsi="Times New Roman"/>
          <w:sz w:val="22"/>
          <w:szCs w:val="22"/>
        </w:rPr>
        <w:t xml:space="preserve">Signature:</w:t>
      </w:r>
    </w:p>
    <w:p>
      <w:pPr>
        <w:spacing w:after="120" w:line="300"/>
        <w:ind w:left="0"/>
        <w:jc w:val="both"/>
      </w:pPr>
      <w:r>
        <w:rPr>
          <w:rFonts w:ascii="Times New Roman" w:cs="Times New Roman" w:eastAsia="Times New Roman" w:hAnsi="Times New Roman"/>
          <w:sz w:val="22"/>
          <w:szCs w:val="22"/>
        </w:rPr>
        <w:t xml:space="preserve">Name: Ruth Fenwick    Position: Managing Director</w:t>
      </w:r>
    </w:p>
    <w:p>
      <w:pPr>
        <w:spacing w:after="120" w:line="300"/>
        <w:ind w:left="0"/>
        <w:jc w:val="both"/>
      </w:pPr>
      <w:r>
        <w:rPr>
          <w:rFonts w:ascii="Times New Roman" w:cs="Times New Roman" w:eastAsia="Times New Roman" w:hAnsi="Times New Roman"/>
          <w:sz w:val="22"/>
          <w:szCs w:val="22"/>
        </w:rPr>
        <w:t xml:space="preserve">Signed on behalf of Brightmoor Analytics Ltd by its duly authorised representative:</w:t>
      </w:r>
    </w:p>
    <w:p>
      <w:pPr>
        <w:spacing w:after="120" w:line="300"/>
        <w:ind w:left="0"/>
        <w:jc w:val="both"/>
      </w:pPr>
      <w:r>
        <w:rPr>
          <w:rFonts w:ascii="Times New Roman" w:cs="Times New Roman" w:eastAsia="Times New Roman" w:hAnsi="Times New Roman"/>
          <w:sz w:val="22"/>
          <w:szCs w:val="22"/>
        </w:rPr>
        <w:t xml:space="preserve">Signature:</w:t>
      </w:r>
    </w:p>
    <w:p>
      <w:pPr>
        <w:spacing w:after="120" w:line="300"/>
        <w:ind w:left="0"/>
        <w:jc w:val="both"/>
      </w:pPr>
      <w:r>
        <w:rPr>
          <w:rFonts w:ascii="Times New Roman" w:cs="Times New Roman" w:eastAsia="Times New Roman" w:hAnsi="Times New Roman"/>
          <w:sz w:val="22"/>
          <w:szCs w:val="22"/>
        </w:rPr>
        <w:t xml:space="preserve">Name: Arjun Mehta    Position: Chief Executive</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Fenwick Robotics and Brightmoor Analytics: mutual NDA</dc:title>
  <dc:creator>DocuWeave</dc:creator>
  <cp:lastModifiedBy>Un-named</cp:lastModifiedBy>
  <cp:revision>1</cp:revision>
  <dcterms:created xsi:type="dcterms:W3CDTF">2026-10-06T22:15:27.054Z</dcterms:created>
  <dcterms:modified xsi:type="dcterms:W3CDTF">2026-10-06T22:15:27.054Z</dcterms:modified>
</cp:coreProperties>
</file>

<file path=docProps/custom.xml><?xml version="1.0" encoding="utf-8"?>
<Properties xmlns="http://schemas.openxmlformats.org/officeDocument/2006/custom-properties" xmlns:vt="http://schemas.openxmlformats.org/officeDocument/2006/docPropsVTypes"/>
</file>