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300"/>
        <w:ind w:left="0"/>
        <w:jc w:val="both"/>
      </w:pPr>
      <w:r>
        <w:rPr>
          <w:rFonts w:ascii="Times New Roman" w:cs="Times New Roman" w:eastAsia="Times New Roman" w:hAnsi="Times New Roman"/>
          <w:b/>
          <w:bCs/>
          <w:sz w:val="22"/>
          <w:szCs w:val="22"/>
        </w:rPr>
        <w:t xml:space="preserve">Partnership agreement</w:t>
      </w:r>
    </w:p>
    <w:p>
      <w:pPr>
        <w:spacing w:after="120" w:line="300"/>
        <w:ind w:left="0"/>
        <w:jc w:val="both"/>
      </w:pPr>
      <w:r>
        <w:rPr>
          <w:rFonts w:ascii="Times New Roman" w:cs="Times New Roman" w:eastAsia="Times New Roman" w:hAnsi="Times New Roman"/>
          <w:sz w:val="22"/>
          <w:szCs w:val="22"/>
        </w:rPr>
        <w:t xml:space="preserve">This agreement is dated 7 October 2026 and is between the people listed in Schedule 1 (the “Partners”).</w:t>
      </w:r>
    </w:p>
    <w:p>
      <w:pPr>
        <w:keepNext/>
        <w:spacing w:after="80" w:before="240"/>
        <w:ind w:left="0"/>
      </w:pPr>
      <w:r>
        <w:rPr>
          <w:rFonts w:ascii="Times New Roman" w:cs="Times New Roman" w:eastAsia="Times New Roman" w:hAnsi="Times New Roman"/>
          <w:b/>
          <w:bCs/>
          <w:color w:val="1f2937"/>
          <w:sz w:val="22"/>
          <w:szCs w:val="22"/>
        </w:rPr>
        <w:t xml:space="preserve">1  The partnership</w:t>
      </w:r>
    </w:p>
    <w:p>
      <w:pPr>
        <w:keepNext/>
        <w:spacing w:after="80" w:before="240"/>
        <w:ind w:left="360"/>
      </w:pPr>
      <w:r>
        <w:rPr>
          <w:rFonts w:ascii="Times New Roman" w:cs="Times New Roman" w:eastAsia="Times New Roman" w:hAnsi="Times New Roman"/>
          <w:b/>
          <w:bCs/>
          <w:color w:val="1f2937"/>
          <w:sz w:val="22"/>
          <w:szCs w:val="22"/>
        </w:rPr>
        <w:t xml:space="preserve">1.1  Business description and firm name</w:t>
      </w:r>
    </w:p>
    <w:p>
      <w:pPr>
        <w:spacing w:after="120" w:line="300"/>
        <w:ind w:left="360"/>
        <w:jc w:val="both"/>
      </w:pPr>
      <w:r>
        <w:rPr>
          <w:rFonts w:ascii="Times New Roman" w:cs="Times New Roman" w:eastAsia="Times New Roman" w:hAnsi="Times New Roman"/>
          <w:sz w:val="22"/>
          <w:szCs w:val="22"/>
        </w:rPr>
        <w:t xml:space="preserve">The Partners carry on business in partnership as landscape architects and garden designers (“the Business”) under the name Larkspur Design (“the Firm”).</w:t>
      </w:r>
    </w:p>
    <w:p>
      <w:pPr>
        <w:keepNext/>
        <w:spacing w:after="80" w:before="240"/>
        <w:ind w:left="360"/>
      </w:pPr>
      <w:r>
        <w:rPr>
          <w:rFonts w:ascii="Times New Roman" w:cs="Times New Roman" w:eastAsia="Times New Roman" w:hAnsi="Times New Roman"/>
          <w:b/>
          <w:bCs/>
          <w:color w:val="1f2937"/>
          <w:sz w:val="22"/>
          <w:szCs w:val="22"/>
        </w:rPr>
        <w:t xml:space="preserve">1.2  Start date</w:t>
      </w:r>
    </w:p>
    <w:p>
      <w:pPr>
        <w:spacing w:after="120" w:line="300"/>
        <w:ind w:left="360"/>
        <w:jc w:val="both"/>
      </w:pPr>
      <w:r>
        <w:rPr>
          <w:rFonts w:ascii="Times New Roman" w:cs="Times New Roman" w:eastAsia="Times New Roman" w:hAnsi="Times New Roman"/>
          <w:sz w:val="22"/>
          <w:szCs w:val="22"/>
        </w:rPr>
        <w:t xml:space="preserve">The partnership starts on 1 November 2026 and continues until it is dissolved under this agreement.</w:t>
      </w:r>
    </w:p>
    <w:p>
      <w:pPr>
        <w:keepNext/>
        <w:spacing w:after="80" w:before="240"/>
        <w:ind w:left="360"/>
      </w:pPr>
      <w:r>
        <w:rPr>
          <w:rFonts w:ascii="Times New Roman" w:cs="Times New Roman" w:eastAsia="Times New Roman" w:hAnsi="Times New Roman"/>
          <w:b/>
          <w:bCs/>
          <w:color w:val="1f2937"/>
          <w:sz w:val="22"/>
          <w:szCs w:val="22"/>
        </w:rPr>
        <w:t xml:space="preserve">1.3  Main place of business</w:t>
      </w:r>
    </w:p>
    <w:p>
      <w:pPr>
        <w:spacing w:after="120" w:line="300"/>
        <w:ind w:left="360"/>
        <w:jc w:val="both"/>
      </w:pPr>
      <w:r>
        <w:rPr>
          <w:rFonts w:ascii="Times New Roman" w:cs="Times New Roman" w:eastAsia="Times New Roman" w:hAnsi="Times New Roman"/>
          <w:sz w:val="22"/>
          <w:szCs w:val="22"/>
        </w:rPr>
        <w:t xml:space="preserve">The Firm’s main place of business is 14 Gillygate, York YO31 7EQ.</w:t>
      </w:r>
    </w:p>
    <w:p>
      <w:pPr>
        <w:keepNext/>
        <w:spacing w:after="80" w:before="240"/>
        <w:ind w:left="360"/>
      </w:pPr>
      <w:r>
        <w:rPr>
          <w:rFonts w:ascii="Times New Roman" w:cs="Times New Roman" w:eastAsia="Times New Roman" w:hAnsi="Times New Roman"/>
          <w:b/>
          <w:bCs/>
          <w:color w:val="1f2937"/>
          <w:sz w:val="22"/>
          <w:szCs w:val="22"/>
        </w:rPr>
        <w:t xml:space="preserve">1.4  Relationship with Partnership Act 1890</w:t>
      </w:r>
    </w:p>
    <w:p>
      <w:pPr>
        <w:spacing w:after="120" w:line="300"/>
        <w:ind w:left="360"/>
        <w:jc w:val="both"/>
      </w:pPr>
      <w:r>
        <w:rPr>
          <w:rFonts w:ascii="Times New Roman" w:cs="Times New Roman" w:eastAsia="Times New Roman" w:hAnsi="Times New Roman"/>
          <w:sz w:val="22"/>
          <w:szCs w:val="22"/>
        </w:rPr>
        <w:t xml:space="preserve">This agreement replaces the default rules of the Partnership Act 1890 where they are different. Where it says nothing, the Act applies.</w:t>
      </w:r>
    </w:p>
    <w:p>
      <w:pPr>
        <w:keepNext/>
        <w:spacing w:after="80" w:before="240"/>
        <w:ind w:left="0"/>
      </w:pPr>
      <w:r>
        <w:rPr>
          <w:rFonts w:ascii="Times New Roman" w:cs="Times New Roman" w:eastAsia="Times New Roman" w:hAnsi="Times New Roman"/>
          <w:b/>
          <w:bCs/>
          <w:color w:val="1f2937"/>
          <w:sz w:val="22"/>
          <w:szCs w:val="22"/>
        </w:rPr>
        <w:t xml:space="preserve">2  Capital</w:t>
      </w:r>
    </w:p>
    <w:p>
      <w:pPr>
        <w:keepNext/>
        <w:spacing w:after="80" w:before="240"/>
        <w:ind w:left="360"/>
      </w:pPr>
      <w:r>
        <w:rPr>
          <w:rFonts w:ascii="Times New Roman" w:cs="Times New Roman" w:eastAsia="Times New Roman" w:hAnsi="Times New Roman"/>
          <w:b/>
          <w:bCs/>
          <w:color w:val="1f2937"/>
          <w:sz w:val="22"/>
          <w:szCs w:val="22"/>
        </w:rPr>
        <w:t xml:space="preserve">2.1  Capital contributions</w:t>
      </w:r>
    </w:p>
    <w:p>
      <w:pPr>
        <w:spacing w:after="120" w:line="300"/>
        <w:ind w:left="360"/>
        <w:jc w:val="both"/>
      </w:pPr>
      <w:r>
        <w:rPr>
          <w:rFonts w:ascii="Times New Roman" w:cs="Times New Roman" w:eastAsia="Times New Roman" w:hAnsi="Times New Roman"/>
          <w:sz w:val="22"/>
          <w:szCs w:val="22"/>
        </w:rPr>
        <w:t xml:space="preserve">Each Partner has contributed, or will contribute by 30 November 2026, the capital shown in Schedule 1.</w:t>
      </w:r>
    </w:p>
    <w:p>
      <w:pPr>
        <w:keepNext/>
        <w:spacing w:after="80" w:before="240"/>
        <w:ind w:left="360"/>
      </w:pPr>
      <w:r>
        <w:rPr>
          <w:rFonts w:ascii="Times New Roman" w:cs="Times New Roman" w:eastAsia="Times New Roman" w:hAnsi="Times New Roman"/>
          <w:b/>
          <w:bCs/>
          <w:color w:val="1f2937"/>
          <w:sz w:val="22"/>
          <w:szCs w:val="22"/>
        </w:rPr>
        <w:t xml:space="preserve">2.2  Interest on capital</w:t>
      </w:r>
    </w:p>
    <w:p>
      <w:pPr>
        <w:spacing w:after="120" w:line="300"/>
        <w:ind w:left="360"/>
        <w:jc w:val="both"/>
      </w:pPr>
      <w:r>
        <w:rPr>
          <w:rFonts w:ascii="Times New Roman" w:cs="Times New Roman" w:eastAsia="Times New Roman" w:hAnsi="Times New Roman"/>
          <w:sz w:val="22"/>
          <w:szCs w:val="22"/>
        </w:rPr>
        <w:t xml:space="preserve">Capital belongs to the Partners in the proportions they contributed it, not equally. No interest is paid on capital.</w:t>
      </w:r>
    </w:p>
    <w:p>
      <w:pPr>
        <w:keepNext/>
        <w:spacing w:after="80" w:before="240"/>
        <w:ind w:left="360"/>
      </w:pPr>
      <w:r>
        <w:rPr>
          <w:rFonts w:ascii="Times New Roman" w:cs="Times New Roman" w:eastAsia="Times New Roman" w:hAnsi="Times New Roman"/>
          <w:b/>
          <w:bCs/>
          <w:color w:val="1f2937"/>
          <w:sz w:val="22"/>
          <w:szCs w:val="22"/>
        </w:rPr>
        <w:t xml:space="preserve">2.3  Withdrawal of capital</w:t>
      </w:r>
    </w:p>
    <w:p>
      <w:pPr>
        <w:spacing w:after="120" w:line="300"/>
        <w:ind w:left="360"/>
        <w:jc w:val="both"/>
      </w:pPr>
      <w:r>
        <w:rPr>
          <w:rFonts w:ascii="Times New Roman" w:cs="Times New Roman" w:eastAsia="Times New Roman" w:hAnsi="Times New Roman"/>
          <w:sz w:val="22"/>
          <w:szCs w:val="22"/>
        </w:rPr>
        <w:t xml:space="preserve">No Partner may withdraw capital without the agreement of all the Partners.</w:t>
      </w:r>
    </w:p>
    <w:p>
      <w:pPr>
        <w:keepNext/>
        <w:spacing w:after="80" w:before="240"/>
        <w:ind w:left="360"/>
      </w:pPr>
      <w:r>
        <w:rPr>
          <w:rFonts w:ascii="Times New Roman" w:cs="Times New Roman" w:eastAsia="Times New Roman" w:hAnsi="Times New Roman"/>
          <w:b/>
          <w:bCs/>
          <w:color w:val="1f2937"/>
          <w:sz w:val="22"/>
          <w:szCs w:val="22"/>
        </w:rPr>
        <w:t xml:space="preserve">2.4  Firm property and goodwill</w:t>
      </w:r>
    </w:p>
    <w:p>
      <w:pPr>
        <w:spacing w:after="120" w:line="300"/>
        <w:ind w:left="360"/>
        <w:jc w:val="both"/>
      </w:pPr>
      <w:r>
        <w:rPr>
          <w:rFonts w:ascii="Times New Roman" w:cs="Times New Roman" w:eastAsia="Times New Roman" w:hAnsi="Times New Roman"/>
          <w:sz w:val="22"/>
          <w:szCs w:val="22"/>
        </w:rPr>
        <w:t xml:space="preserve">Property bought with Firm money, and the Business’s goodwill, belongs to the Firm.</w:t>
      </w:r>
    </w:p>
    <w:p>
      <w:pPr>
        <w:keepNext/>
        <w:spacing w:after="80" w:before="240"/>
        <w:ind w:left="0"/>
      </w:pPr>
      <w:r>
        <w:rPr>
          <w:rFonts w:ascii="Times New Roman" w:cs="Times New Roman" w:eastAsia="Times New Roman" w:hAnsi="Times New Roman"/>
          <w:b/>
          <w:bCs/>
          <w:color w:val="1f2937"/>
          <w:sz w:val="22"/>
          <w:szCs w:val="22"/>
        </w:rPr>
        <w:t xml:space="preserve">3  Profits, losses and drawings</w:t>
      </w:r>
    </w:p>
    <w:p>
      <w:pPr>
        <w:keepNext/>
        <w:spacing w:after="80" w:before="240"/>
        <w:ind w:left="360"/>
      </w:pPr>
      <w:r>
        <w:rPr>
          <w:rFonts w:ascii="Times New Roman" w:cs="Times New Roman" w:eastAsia="Times New Roman" w:hAnsi="Times New Roman"/>
          <w:b/>
          <w:bCs/>
          <w:color w:val="1f2937"/>
          <w:sz w:val="22"/>
          <w:szCs w:val="22"/>
        </w:rPr>
        <w:t xml:space="preserve">3.1  Profit and loss sharing</w:t>
      </w:r>
    </w:p>
    <w:p>
      <w:pPr>
        <w:spacing w:after="120" w:line="300"/>
        <w:ind w:left="360"/>
        <w:jc w:val="both"/>
      </w:pPr>
      <w:r>
        <w:rPr>
          <w:rFonts w:ascii="Times New Roman" w:cs="Times New Roman" w:eastAsia="Times New Roman" w:hAnsi="Times New Roman"/>
          <w:sz w:val="22"/>
          <w:szCs w:val="22"/>
        </w:rPr>
        <w:t xml:space="preserve">Profits and losses are shared in the proportions set out in Schedule 1.</w:t>
      </w:r>
    </w:p>
    <w:p>
      <w:pPr>
        <w:keepNext/>
        <w:spacing w:after="80" w:before="240"/>
        <w:ind w:left="360"/>
      </w:pPr>
      <w:r>
        <w:rPr>
          <w:rFonts w:ascii="Times New Roman" w:cs="Times New Roman" w:eastAsia="Times New Roman" w:hAnsi="Times New Roman"/>
          <w:b/>
          <w:bCs/>
          <w:color w:val="1f2937"/>
          <w:sz w:val="22"/>
          <w:szCs w:val="22"/>
        </w:rPr>
        <w:t xml:space="preserve">3.2  Partnership salary</w:t>
      </w:r>
    </w:p>
    <w:p>
      <w:pPr>
        <w:spacing w:after="120" w:line="300"/>
        <w:ind w:left="360"/>
        <w:jc w:val="both"/>
      </w:pPr>
      <w:r>
        <w:rPr>
          <w:rFonts w:ascii="Times New Roman" w:cs="Times New Roman" w:eastAsia="Times New Roman" w:hAnsi="Times New Roman"/>
          <w:sz w:val="22"/>
          <w:szCs w:val="22"/>
        </w:rPr>
        <w:t xml:space="preserve">Before profits are shared, Sean Patrick O'Neill is paid a partnership salary of £12,000 a year.</w:t>
      </w:r>
    </w:p>
    <w:p>
      <w:pPr>
        <w:keepNext/>
        <w:spacing w:after="80" w:before="240"/>
        <w:ind w:left="360"/>
      </w:pPr>
      <w:r>
        <w:rPr>
          <w:rFonts w:ascii="Times New Roman" w:cs="Times New Roman" w:eastAsia="Times New Roman" w:hAnsi="Times New Roman"/>
          <w:b/>
          <w:bCs/>
          <w:color w:val="1f2937"/>
          <w:sz w:val="22"/>
          <w:szCs w:val="22"/>
        </w:rPr>
        <w:t xml:space="preserve">3.3  Drawings</w:t>
      </w:r>
    </w:p>
    <w:p>
      <w:pPr>
        <w:spacing w:after="120" w:line="300"/>
        <w:ind w:left="360"/>
        <w:jc w:val="both"/>
      </w:pPr>
      <w:r>
        <w:rPr>
          <w:rFonts w:ascii="Times New Roman" w:cs="Times New Roman" w:eastAsia="Times New Roman" w:hAnsi="Times New Roman"/>
          <w:sz w:val="22"/>
          <w:szCs w:val="22"/>
        </w:rPr>
        <w:t xml:space="preserve">Each Partner may draw up to £3,500 a month on account of their share of profits. Any drawings over a Partner’s final share for the year must be repaid within 60 days of the accounts being agreed.</w:t>
      </w:r>
    </w:p>
    <w:p>
      <w:pPr>
        <w:keepNext/>
        <w:spacing w:after="80" w:before="240"/>
        <w:ind w:left="0"/>
      </w:pPr>
      <w:r>
        <w:rPr>
          <w:rFonts w:ascii="Times New Roman" w:cs="Times New Roman" w:eastAsia="Times New Roman" w:hAnsi="Times New Roman"/>
          <w:b/>
          <w:bCs/>
          <w:color w:val="1f2937"/>
          <w:sz w:val="22"/>
          <w:szCs w:val="22"/>
        </w:rPr>
        <w:t xml:space="preserve">4  Bank and accounts</w:t>
      </w:r>
    </w:p>
    <w:p>
      <w:pPr>
        <w:keepNext/>
        <w:spacing w:after="80" w:before="240"/>
        <w:ind w:left="360"/>
      </w:pPr>
      <w:r>
        <w:rPr>
          <w:rFonts w:ascii="Times New Roman" w:cs="Times New Roman" w:eastAsia="Times New Roman" w:hAnsi="Times New Roman"/>
          <w:b/>
          <w:bCs/>
          <w:color w:val="1f2937"/>
          <w:sz w:val="22"/>
          <w:szCs w:val="22"/>
        </w:rPr>
        <w:t xml:space="preserve">4.1  Bank account</w:t>
      </w:r>
    </w:p>
    <w:p>
      <w:pPr>
        <w:spacing w:after="120" w:line="300"/>
        <w:ind w:left="360"/>
        <w:jc w:val="both"/>
      </w:pPr>
      <w:r>
        <w:rPr>
          <w:rFonts w:ascii="Times New Roman" w:cs="Times New Roman" w:eastAsia="Times New Roman" w:hAnsi="Times New Roman"/>
          <w:sz w:val="22"/>
          <w:szCs w:val="22"/>
        </w:rPr>
        <w:t xml:space="preserve">The Firm will keep a bank account with Tees Valley Bank. All Firm money is paid into it. Payments over £5,000 need the signature or approval of two Partners.</w:t>
      </w:r>
    </w:p>
    <w:p>
      <w:pPr>
        <w:keepNext/>
        <w:spacing w:after="80" w:before="240"/>
        <w:ind w:left="360"/>
      </w:pPr>
      <w:r>
        <w:rPr>
          <w:rFonts w:ascii="Times New Roman" w:cs="Times New Roman" w:eastAsia="Times New Roman" w:hAnsi="Times New Roman"/>
          <w:b/>
          <w:bCs/>
          <w:color w:val="1f2937"/>
          <w:sz w:val="22"/>
          <w:szCs w:val="22"/>
        </w:rPr>
        <w:t xml:space="preserve">4.2  Accounts</w:t>
      </w:r>
    </w:p>
    <w:p>
      <w:pPr>
        <w:spacing w:after="120" w:line="300"/>
        <w:ind w:left="360"/>
        <w:jc w:val="both"/>
      </w:pPr>
      <w:r>
        <w:rPr>
          <w:rFonts w:ascii="Times New Roman" w:cs="Times New Roman" w:eastAsia="Times New Roman" w:hAnsi="Times New Roman"/>
          <w:sz w:val="22"/>
          <w:szCs w:val="22"/>
        </w:rPr>
        <w:t xml:space="preserve">The Firm will keep proper accounts. Accounts will be drawn up to 31 March each year by Calder &amp; Moss Accountants and, once signed by all the Partners, are binding on them unless there is a clear error found within 3 months.</w:t>
      </w:r>
    </w:p>
    <w:p>
      <w:pPr>
        <w:keepNext/>
        <w:spacing w:after="80" w:before="240"/>
        <w:ind w:left="360"/>
      </w:pPr>
      <w:r>
        <w:rPr>
          <w:rFonts w:ascii="Times New Roman" w:cs="Times New Roman" w:eastAsia="Times New Roman" w:hAnsi="Times New Roman"/>
          <w:b/>
          <w:bCs/>
          <w:color w:val="1f2937"/>
          <w:sz w:val="22"/>
          <w:szCs w:val="22"/>
        </w:rPr>
        <w:t xml:space="preserve">4.3  Tax and National Insurance</w:t>
      </w:r>
    </w:p>
    <w:p>
      <w:pPr>
        <w:spacing w:after="120" w:line="300"/>
        <w:ind w:left="360"/>
        <w:jc w:val="both"/>
      </w:pPr>
      <w:r>
        <w:rPr>
          <w:rFonts w:ascii="Times New Roman" w:cs="Times New Roman" w:eastAsia="Times New Roman" w:hAnsi="Times New Roman"/>
          <w:sz w:val="22"/>
          <w:szCs w:val="22"/>
        </w:rPr>
        <w:t xml:space="preserve">Each Partner is responsible for their own income tax and National Insurance on their share of profits, and will keep a reserve for it.</w:t>
      </w:r>
    </w:p>
    <w:p>
      <w:pPr>
        <w:keepNext/>
        <w:spacing w:after="80" w:before="240"/>
        <w:ind w:left="0"/>
      </w:pPr>
      <w:r>
        <w:rPr>
          <w:rFonts w:ascii="Times New Roman" w:cs="Times New Roman" w:eastAsia="Times New Roman" w:hAnsi="Times New Roman"/>
          <w:b/>
          <w:bCs/>
          <w:color w:val="1f2937"/>
          <w:sz w:val="22"/>
          <w:szCs w:val="22"/>
        </w:rPr>
        <w:t xml:space="preserve">5  Running the Business</w:t>
      </w:r>
    </w:p>
    <w:p>
      <w:pPr>
        <w:keepNext/>
        <w:spacing w:after="80" w:before="240"/>
        <w:ind w:left="360"/>
      </w:pPr>
      <w:r>
        <w:rPr>
          <w:rFonts w:ascii="Times New Roman" w:cs="Times New Roman" w:eastAsia="Times New Roman" w:hAnsi="Times New Roman"/>
          <w:b/>
          <w:bCs/>
          <w:color w:val="1f2937"/>
          <w:sz w:val="22"/>
          <w:szCs w:val="22"/>
        </w:rPr>
        <w:t xml:space="preserve">5.1  Partners' duties and outside business</w:t>
      </w:r>
    </w:p>
    <w:p>
      <w:pPr>
        <w:spacing w:after="120" w:line="300"/>
        <w:ind w:left="360"/>
        <w:jc w:val="both"/>
      </w:pPr>
      <w:r>
        <w:rPr>
          <w:rFonts w:ascii="Times New Roman" w:cs="Times New Roman" w:eastAsia="Times New Roman" w:hAnsi="Times New Roman"/>
          <w:sz w:val="22"/>
          <w:szCs w:val="22"/>
        </w:rPr>
        <w:t xml:space="preserve">Each Partner will work in the Business full time, act in good faith towards the others, and not carry on any other business without the other Partners’ written agreement.</w:t>
      </w:r>
    </w:p>
    <w:p>
      <w:pPr>
        <w:keepNext/>
        <w:spacing w:after="80" w:before="240"/>
        <w:ind w:left="360"/>
      </w:pPr>
      <w:r>
        <w:rPr>
          <w:rFonts w:ascii="Times New Roman" w:cs="Times New Roman" w:eastAsia="Times New Roman" w:hAnsi="Times New Roman"/>
          <w:b/>
          <w:bCs/>
          <w:color w:val="1f2937"/>
          <w:sz w:val="22"/>
          <w:szCs w:val="22"/>
        </w:rPr>
        <w:t xml:space="preserve">5.2  Day-to-day decisions</w:t>
      </w:r>
    </w:p>
    <w:p>
      <w:pPr>
        <w:spacing w:after="120" w:line="300"/>
        <w:ind w:left="360"/>
        <w:jc w:val="both"/>
      </w:pPr>
      <w:r>
        <w:rPr>
          <w:rFonts w:ascii="Times New Roman" w:cs="Times New Roman" w:eastAsia="Times New Roman" w:hAnsi="Times New Roman"/>
          <w:sz w:val="22"/>
          <w:szCs w:val="22"/>
        </w:rPr>
        <w:t xml:space="preserve">Day-to-day decisions are made by a majority of the Partners. Each Partner has one vote.</w:t>
      </w:r>
    </w:p>
    <w:p>
      <w:pPr>
        <w:keepNext/>
        <w:spacing w:after="80" w:before="240"/>
        <w:ind w:left="360"/>
      </w:pPr>
      <w:r>
        <w:rPr>
          <w:rFonts w:ascii="Times New Roman" w:cs="Times New Roman" w:eastAsia="Times New Roman" w:hAnsi="Times New Roman"/>
          <w:b/>
          <w:bCs/>
          <w:color w:val="1f2937"/>
          <w:sz w:val="22"/>
          <w:szCs w:val="22"/>
        </w:rPr>
        <w:t xml:space="preserve">5.3  Unanimous decisions</w:t>
      </w:r>
    </w:p>
    <w:p>
      <w:pPr>
        <w:spacing w:after="120" w:line="300"/>
        <w:ind w:left="360"/>
        <w:jc w:val="both"/>
      </w:pPr>
      <w:r>
        <w:rPr>
          <w:rFonts w:ascii="Times New Roman" w:cs="Times New Roman" w:eastAsia="Times New Roman" w:hAnsi="Times New Roman"/>
          <w:sz w:val="22"/>
          <w:szCs w:val="22"/>
        </w:rPr>
        <w:t xml:space="preserve">These decisions need the agreement of all the Partners:</w:t>
      </w:r>
    </w:p>
    <w:p>
      <w:pPr>
        <w:pStyle w:val="ListParagraph"/>
        <w:numPr>
          <w:ilvl w:val="0"/>
          <w:numId w:val="1"/>
        </w:numPr>
        <w:ind w:left="720" w:hanging="360"/>
      </w:pPr>
      <w:r>
        <w:rPr>
          <w:rFonts w:ascii="Times New Roman" w:cs="Times New Roman" w:eastAsia="Times New Roman" w:hAnsi="Times New Roman"/>
          <w:sz w:val="22"/>
          <w:szCs w:val="22"/>
        </w:rPr>
        <w:t xml:space="preserve">changing the nature of the Business or the Firm name;</w:t>
      </w:r>
    </w:p>
    <w:p>
      <w:pPr>
        <w:pStyle w:val="ListParagraph"/>
        <w:numPr>
          <w:ilvl w:val="0"/>
          <w:numId w:val="1"/>
        </w:numPr>
        <w:ind w:left="720" w:hanging="360"/>
      </w:pPr>
      <w:r>
        <w:rPr>
          <w:rFonts w:ascii="Times New Roman" w:cs="Times New Roman" w:eastAsia="Times New Roman" w:hAnsi="Times New Roman"/>
          <w:sz w:val="22"/>
          <w:szCs w:val="22"/>
        </w:rPr>
        <w:t xml:space="preserve">admitting a new Partner;</w:t>
      </w:r>
    </w:p>
    <w:p>
      <w:pPr>
        <w:pStyle w:val="ListParagraph"/>
        <w:numPr>
          <w:ilvl w:val="0"/>
          <w:numId w:val="1"/>
        </w:numPr>
        <w:ind w:left="720" w:hanging="360"/>
      </w:pPr>
      <w:r>
        <w:rPr>
          <w:rFonts w:ascii="Times New Roman" w:cs="Times New Roman" w:eastAsia="Times New Roman" w:hAnsi="Times New Roman"/>
          <w:sz w:val="22"/>
          <w:szCs w:val="22"/>
        </w:rPr>
        <w:t xml:space="preserve">borrowing, or giving any guarantee, over £20,000;</w:t>
      </w:r>
    </w:p>
    <w:p>
      <w:pPr>
        <w:pStyle w:val="ListParagraph"/>
        <w:numPr>
          <w:ilvl w:val="0"/>
          <w:numId w:val="1"/>
        </w:numPr>
        <w:ind w:left="720" w:hanging="360"/>
      </w:pPr>
      <w:r>
        <w:rPr>
          <w:rFonts w:ascii="Times New Roman" w:cs="Times New Roman" w:eastAsia="Times New Roman" w:hAnsi="Times New Roman"/>
          <w:sz w:val="22"/>
          <w:szCs w:val="22"/>
        </w:rPr>
        <w:t xml:space="preserve">buying or selling any asset worth over £10,000;</w:t>
      </w:r>
    </w:p>
    <w:p>
      <w:pPr>
        <w:pStyle w:val="ListParagraph"/>
        <w:numPr>
          <w:ilvl w:val="0"/>
          <w:numId w:val="1"/>
        </w:numPr>
        <w:ind w:left="720" w:hanging="360"/>
      </w:pPr>
      <w:r>
        <w:rPr>
          <w:rFonts w:ascii="Times New Roman" w:cs="Times New Roman" w:eastAsia="Times New Roman" w:hAnsi="Times New Roman"/>
          <w:sz w:val="22"/>
          <w:szCs w:val="22"/>
        </w:rPr>
        <w:t xml:space="preserve">entering into any contract lasting more than 12 months or worth more than £50,000;</w:t>
      </w:r>
    </w:p>
    <w:p>
      <w:pPr>
        <w:pStyle w:val="ListParagraph"/>
        <w:numPr>
          <w:ilvl w:val="0"/>
          <w:numId w:val="1"/>
        </w:numPr>
        <w:ind w:left="720" w:hanging="360"/>
      </w:pPr>
      <w:r>
        <w:rPr>
          <w:rFonts w:ascii="Times New Roman" w:cs="Times New Roman" w:eastAsia="Times New Roman" w:hAnsi="Times New Roman"/>
          <w:sz w:val="22"/>
          <w:szCs w:val="22"/>
        </w:rPr>
        <w:t xml:space="preserve">employing or dismissing staff;</w:t>
      </w:r>
    </w:p>
    <w:p>
      <w:pPr>
        <w:pStyle w:val="ListParagraph"/>
        <w:numPr>
          <w:ilvl w:val="0"/>
          <w:numId w:val="1"/>
        </w:numPr>
        <w:ind w:left="720" w:hanging="360"/>
      </w:pPr>
      <w:r>
        <w:rPr>
          <w:rFonts w:ascii="Times New Roman" w:cs="Times New Roman" w:eastAsia="Times New Roman" w:hAnsi="Times New Roman"/>
          <w:sz w:val="22"/>
          <w:szCs w:val="22"/>
        </w:rPr>
        <w:t xml:space="preserve">changing this agreement.</w:t>
      </w:r>
    </w:p>
    <w:p>
      <w:pPr>
        <w:keepNext/>
        <w:spacing w:after="80" w:before="240"/>
        <w:ind w:left="360"/>
      </w:pPr>
      <w:r>
        <w:rPr>
          <w:rFonts w:ascii="Times New Roman" w:cs="Times New Roman" w:eastAsia="Times New Roman" w:hAnsi="Times New Roman"/>
          <w:b/>
          <w:bCs/>
          <w:color w:val="1f2937"/>
          <w:sz w:val="22"/>
          <w:szCs w:val="22"/>
        </w:rPr>
        <w:t xml:space="preserve">5.4  Holiday</w:t>
      </w:r>
    </w:p>
    <w:p>
      <w:pPr>
        <w:spacing w:after="120" w:line="300"/>
        <w:ind w:left="360"/>
        <w:jc w:val="both"/>
      </w:pPr>
      <w:r>
        <w:rPr>
          <w:rFonts w:ascii="Times New Roman" w:cs="Times New Roman" w:eastAsia="Times New Roman" w:hAnsi="Times New Roman"/>
          <w:sz w:val="22"/>
          <w:szCs w:val="22"/>
        </w:rPr>
        <w:t xml:space="preserve">Each Partner may take 6 weeks’ holiday a year, at times agreed with the others.</w:t>
      </w:r>
    </w:p>
    <w:p>
      <w:pPr>
        <w:keepNext/>
        <w:spacing w:after="80" w:before="240"/>
        <w:ind w:left="0"/>
      </w:pPr>
      <w:r>
        <w:rPr>
          <w:rFonts w:ascii="Times New Roman" w:cs="Times New Roman" w:eastAsia="Times New Roman" w:hAnsi="Times New Roman"/>
          <w:b/>
          <w:bCs/>
          <w:color w:val="1f2937"/>
          <w:sz w:val="22"/>
          <w:szCs w:val="22"/>
        </w:rPr>
        <w:t xml:space="preserve">6  Leaving the partnership</w:t>
      </w:r>
    </w:p>
    <w:p>
      <w:pPr>
        <w:keepNext/>
        <w:spacing w:after="80" w:before="240"/>
        <w:ind w:left="360"/>
      </w:pPr>
      <w:r>
        <w:rPr>
          <w:rFonts w:ascii="Times New Roman" w:cs="Times New Roman" w:eastAsia="Times New Roman" w:hAnsi="Times New Roman"/>
          <w:b/>
          <w:bCs/>
          <w:color w:val="1f2937"/>
          <w:sz w:val="22"/>
          <w:szCs w:val="22"/>
        </w:rPr>
        <w:t xml:space="preserve">6.1  Retirement</w:t>
      </w:r>
    </w:p>
    <w:p>
      <w:pPr>
        <w:spacing w:after="120" w:line="300"/>
        <w:ind w:left="360"/>
        <w:jc w:val="both"/>
      </w:pPr>
      <w:r>
        <w:rPr>
          <w:rFonts w:ascii="Times New Roman" w:cs="Times New Roman" w:eastAsia="Times New Roman" w:hAnsi="Times New Roman"/>
          <w:sz w:val="22"/>
          <w:szCs w:val="22"/>
        </w:rPr>
        <w:t xml:space="preserve">Retirement. A Partner may retire by giving at least six months’ written notice to the others.</w:t>
      </w:r>
    </w:p>
    <w:p>
      <w:pPr>
        <w:keepNext/>
        <w:spacing w:after="80" w:before="240"/>
        <w:ind w:left="360"/>
      </w:pPr>
      <w:r>
        <w:rPr>
          <w:rFonts w:ascii="Times New Roman" w:cs="Times New Roman" w:eastAsia="Times New Roman" w:hAnsi="Times New Roman"/>
          <w:b/>
          <w:bCs/>
          <w:color w:val="1f2937"/>
          <w:sz w:val="22"/>
          <w:szCs w:val="22"/>
        </w:rPr>
        <w:t xml:space="preserve">6.2  Expulsion</w:t>
      </w:r>
    </w:p>
    <w:p>
      <w:pPr>
        <w:spacing w:after="120" w:line="300"/>
        <w:ind w:left="360"/>
        <w:jc w:val="both"/>
      </w:pPr>
      <w:r>
        <w:rPr>
          <w:rFonts w:ascii="Times New Roman" w:cs="Times New Roman" w:eastAsia="Times New Roman" w:hAnsi="Times New Roman"/>
          <w:sz w:val="22"/>
          <w:szCs w:val="22"/>
        </w:rPr>
        <w:t xml:space="preserve">Expulsion. The other Partners may, by unanimous written notice, expel a Partner who:</w:t>
      </w:r>
    </w:p>
    <w:p>
      <w:pPr>
        <w:pStyle w:val="ListParagraph"/>
        <w:numPr>
          <w:ilvl w:val="0"/>
          <w:numId w:val="1"/>
        </w:numPr>
        <w:ind w:left="720" w:hanging="360"/>
      </w:pPr>
      <w:r>
        <w:rPr>
          <w:rFonts w:ascii="Times New Roman" w:cs="Times New Roman" w:eastAsia="Times New Roman" w:hAnsi="Times New Roman"/>
          <w:sz w:val="22"/>
          <w:szCs w:val="22"/>
        </w:rPr>
        <w:t xml:space="preserve">seriously or persistently breaches this agreement;</w:t>
      </w:r>
    </w:p>
    <w:p>
      <w:pPr>
        <w:pStyle w:val="ListParagraph"/>
        <w:numPr>
          <w:ilvl w:val="0"/>
          <w:numId w:val="1"/>
        </w:numPr>
        <w:ind w:left="720" w:hanging="360"/>
      </w:pPr>
      <w:r>
        <w:rPr>
          <w:rFonts w:ascii="Times New Roman" w:cs="Times New Roman" w:eastAsia="Times New Roman" w:hAnsi="Times New Roman"/>
          <w:sz w:val="22"/>
          <w:szCs w:val="22"/>
        </w:rPr>
        <w:t xml:space="preserve">is made bankrupt or makes an arrangement with their creditors;</w:t>
      </w:r>
    </w:p>
    <w:p>
      <w:pPr>
        <w:pStyle w:val="ListParagraph"/>
        <w:numPr>
          <w:ilvl w:val="0"/>
          <w:numId w:val="1"/>
        </w:numPr>
        <w:ind w:left="720" w:hanging="360"/>
      </w:pPr>
      <w:r>
        <w:rPr>
          <w:rFonts w:ascii="Times New Roman" w:cs="Times New Roman" w:eastAsia="Times New Roman" w:hAnsi="Times New Roman"/>
          <w:sz w:val="22"/>
          <w:szCs w:val="22"/>
        </w:rPr>
        <w:t xml:space="preserve">is convicted of a dishonesty offence; or</w:t>
      </w:r>
    </w:p>
    <w:p>
      <w:pPr>
        <w:pStyle w:val="ListParagraph"/>
        <w:numPr>
          <w:ilvl w:val="0"/>
          <w:numId w:val="1"/>
        </w:numPr>
        <w:ind w:left="720" w:hanging="360"/>
      </w:pPr>
      <w:r>
        <w:rPr>
          <w:rFonts w:ascii="Times New Roman" w:cs="Times New Roman" w:eastAsia="Times New Roman" w:hAnsi="Times New Roman"/>
          <w:sz w:val="22"/>
          <w:szCs w:val="22"/>
        </w:rPr>
        <w:t xml:space="preserve">is unable to work in the Business for more than 6 months in a row.</w:t>
      </w:r>
    </w:p>
    <w:p>
      <w:pPr>
        <w:keepNext/>
        <w:spacing w:after="80" w:before="240"/>
        <w:ind w:left="360"/>
      </w:pPr>
      <w:r>
        <w:rPr>
          <w:rFonts w:ascii="Times New Roman" w:cs="Times New Roman" w:eastAsia="Times New Roman" w:hAnsi="Times New Roman"/>
          <w:b/>
          <w:bCs/>
          <w:color w:val="1f2937"/>
          <w:sz w:val="22"/>
          <w:szCs w:val="22"/>
        </w:rPr>
        <w:t xml:space="preserve">6.3  Continuation of partnership</w:t>
      </w:r>
    </w:p>
    <w:p>
      <w:pPr>
        <w:spacing w:after="120" w:line="300"/>
        <w:ind w:left="360"/>
        <w:jc w:val="both"/>
      </w:pPr>
      <w:r>
        <w:rPr>
          <w:rFonts w:ascii="Times New Roman" w:cs="Times New Roman" w:eastAsia="Times New Roman" w:hAnsi="Times New Roman"/>
          <w:sz w:val="22"/>
          <w:szCs w:val="22"/>
        </w:rPr>
        <w:t xml:space="preserve">The partnership continues. The death, bankruptcy, retirement or expulsion of a Partner does not dissolve the partnership as between the remaining Partners, who will continue the Business.</w:t>
      </w:r>
    </w:p>
    <w:p>
      <w:pPr>
        <w:keepNext/>
        <w:spacing w:after="80" w:before="240"/>
        <w:ind w:left="360"/>
      </w:pPr>
      <w:r>
        <w:rPr>
          <w:rFonts w:ascii="Times New Roman" w:cs="Times New Roman" w:eastAsia="Times New Roman" w:hAnsi="Times New Roman"/>
          <w:b/>
          <w:bCs/>
          <w:color w:val="1f2937"/>
          <w:sz w:val="22"/>
          <w:szCs w:val="22"/>
        </w:rPr>
        <w:t xml:space="preserve">6.4  Paying out the outgoing partner</w:t>
      </w:r>
    </w:p>
    <w:p>
      <w:pPr>
        <w:spacing w:after="120" w:line="300"/>
        <w:ind w:left="360"/>
        <w:jc w:val="both"/>
      </w:pPr>
      <w:r>
        <w:rPr>
          <w:rFonts w:ascii="Times New Roman" w:cs="Times New Roman" w:eastAsia="Times New Roman" w:hAnsi="Times New Roman"/>
          <w:sz w:val="22"/>
          <w:szCs w:val="22"/>
        </w:rPr>
        <w:t xml:space="preserve">Paying out. The continuing Partners will buy the outgoing Partner’s share at its value at the leaving date, being their capital, their undrawn profits, and a share of goodwill valued by an independent accountant, less anything they owe the Firm. It is paid in 4 equal quarterly instalments, with interest at 4% a year.</w:t>
      </w:r>
    </w:p>
    <w:p>
      <w:pPr>
        <w:keepNext/>
        <w:spacing w:after="80" w:before="240"/>
        <w:ind w:left="360"/>
      </w:pPr>
      <w:r>
        <w:rPr>
          <w:rFonts w:ascii="Times New Roman" w:cs="Times New Roman" w:eastAsia="Times New Roman" w:hAnsi="Times New Roman"/>
          <w:b/>
          <w:bCs/>
          <w:color w:val="1f2937"/>
          <w:sz w:val="22"/>
          <w:szCs w:val="22"/>
        </w:rPr>
        <w:t xml:space="preserve">6.5  Indemnity and notification</w:t>
      </w:r>
    </w:p>
    <w:p>
      <w:pPr>
        <w:spacing w:after="120" w:line="300"/>
        <w:ind w:left="360"/>
        <w:jc w:val="both"/>
      </w:pPr>
      <w:r>
        <w:rPr>
          <w:rFonts w:ascii="Times New Roman" w:cs="Times New Roman" w:eastAsia="Times New Roman" w:hAnsi="Times New Roman"/>
          <w:sz w:val="22"/>
          <w:szCs w:val="22"/>
        </w:rPr>
        <w:t xml:space="preserve">The continuing Partners will indemnify the outgoing Partner against the Firm’s debts arising after the leaving date. The Firm will tell its clients and suppliers that the outgoing Partner has left and, if the outgoing Partner asks, publish a notice of it in the London Gazette. Until people who dealt with the Firm have notice, they may treat the outgoing Partner as still a partner.</w:t>
      </w:r>
    </w:p>
    <w:p>
      <w:pPr>
        <w:keepNext/>
        <w:spacing w:after="80" w:before="240"/>
        <w:ind w:left="360"/>
      </w:pPr>
      <w:r>
        <w:rPr>
          <w:rFonts w:ascii="Times New Roman" w:cs="Times New Roman" w:eastAsia="Times New Roman" w:hAnsi="Times New Roman"/>
          <w:b/>
          <w:bCs/>
          <w:color w:val="1f2937"/>
          <w:sz w:val="22"/>
          <w:szCs w:val="22"/>
        </w:rPr>
        <w:t xml:space="preserve">6.6  Post-departure restrictions</w:t>
      </w:r>
    </w:p>
    <w:p>
      <w:pPr>
        <w:spacing w:after="120" w:line="300"/>
        <w:ind w:left="360"/>
        <w:jc w:val="both"/>
      </w:pPr>
      <w:r>
        <w:rPr>
          <w:rFonts w:ascii="Times New Roman" w:cs="Times New Roman" w:eastAsia="Times New Roman" w:hAnsi="Times New Roman"/>
          <w:sz w:val="22"/>
          <w:szCs w:val="22"/>
        </w:rPr>
        <w:t xml:space="preserve">For 12 months after leaving, an outgoing Partner will not deal with any client of the Firm they dealt with in the last 12 months.</w:t>
      </w:r>
    </w:p>
    <w:p>
      <w:pPr>
        <w:keepNext/>
        <w:spacing w:after="80" w:before="240"/>
        <w:ind w:left="0"/>
      </w:pPr>
      <w:r>
        <w:rPr>
          <w:rFonts w:ascii="Times New Roman" w:cs="Times New Roman" w:eastAsia="Times New Roman" w:hAnsi="Times New Roman"/>
          <w:b/>
          <w:bCs/>
          <w:color w:val="1f2937"/>
          <w:sz w:val="22"/>
          <w:szCs w:val="22"/>
        </w:rPr>
        <w:t xml:space="preserve">7  Ending the partnership</w:t>
      </w:r>
    </w:p>
    <w:p>
      <w:pPr>
        <w:keepNext/>
        <w:spacing w:after="80" w:before="240"/>
        <w:ind w:left="360"/>
      </w:pPr>
      <w:r>
        <w:rPr>
          <w:rFonts w:ascii="Times New Roman" w:cs="Times New Roman" w:eastAsia="Times New Roman" w:hAnsi="Times New Roman"/>
          <w:b/>
          <w:bCs/>
          <w:color w:val="1f2937"/>
          <w:sz w:val="22"/>
          <w:szCs w:val="22"/>
        </w:rPr>
        <w:t xml:space="preserve">7.1  No dissolution by notice</w:t>
      </w:r>
    </w:p>
    <w:p>
      <w:pPr>
        <w:spacing w:after="120" w:line="300"/>
        <w:ind w:left="360"/>
        <w:jc w:val="both"/>
      </w:pPr>
      <w:r>
        <w:rPr>
          <w:rFonts w:ascii="Times New Roman" w:cs="Times New Roman" w:eastAsia="Times New Roman" w:hAnsi="Times New Roman"/>
          <w:sz w:val="22"/>
          <w:szCs w:val="22"/>
        </w:rPr>
        <w:t xml:space="preserve">The partnership is not a partnership at will, and no Partner may dissolve it by notice alone.</w:t>
      </w:r>
    </w:p>
    <w:p>
      <w:pPr>
        <w:keepNext/>
        <w:spacing w:after="80" w:before="240"/>
        <w:ind w:left="360"/>
      </w:pPr>
      <w:r>
        <w:rPr>
          <w:rFonts w:ascii="Times New Roman" w:cs="Times New Roman" w:eastAsia="Times New Roman" w:hAnsi="Times New Roman"/>
          <w:b/>
          <w:bCs/>
          <w:color w:val="1f2937"/>
          <w:sz w:val="22"/>
          <w:szCs w:val="22"/>
        </w:rPr>
        <w:t xml:space="preserve">7.2  Dissolution and winding up</w:t>
      </w:r>
    </w:p>
    <w:p>
      <w:pPr>
        <w:spacing w:after="120" w:line="300"/>
        <w:ind w:left="360"/>
        <w:jc w:val="both"/>
      </w:pPr>
      <w:r>
        <w:rPr>
          <w:rFonts w:ascii="Times New Roman" w:cs="Times New Roman" w:eastAsia="Times New Roman" w:hAnsi="Times New Roman"/>
          <w:sz w:val="22"/>
          <w:szCs w:val="22"/>
        </w:rPr>
        <w:t xml:space="preserve">It is dissolved if all the Partners agree in writing. The Partners will then wind up the Business, pay its debts, repay capital, and share any surplus or shortfall in their profit shares.</w:t>
      </w:r>
    </w:p>
    <w:p>
      <w:pPr>
        <w:keepNext/>
        <w:spacing w:after="80" w:before="240"/>
        <w:ind w:left="0"/>
      </w:pPr>
      <w:r>
        <w:rPr>
          <w:rFonts w:ascii="Times New Roman" w:cs="Times New Roman" w:eastAsia="Times New Roman" w:hAnsi="Times New Roman"/>
          <w:b/>
          <w:bCs/>
          <w:color w:val="1f2937"/>
          <w:sz w:val="22"/>
          <w:szCs w:val="22"/>
        </w:rPr>
        <w:t xml:space="preserve">8  Disputes</w:t>
      </w:r>
    </w:p>
    <w:p>
      <w:pPr>
        <w:keepNext/>
        <w:spacing w:after="80" w:before="240"/>
        <w:ind w:left="360"/>
      </w:pPr>
      <w:r>
        <w:rPr>
          <w:rFonts w:ascii="Times New Roman" w:cs="Times New Roman" w:eastAsia="Times New Roman" w:hAnsi="Times New Roman"/>
          <w:b/>
          <w:bCs/>
          <w:color w:val="1f2937"/>
          <w:sz w:val="22"/>
          <w:szCs w:val="22"/>
        </w:rPr>
        <w:t xml:space="preserve">8.1  Mediation</w:t>
      </w:r>
    </w:p>
    <w:p>
      <w:pPr>
        <w:spacing w:after="120" w:line="300"/>
        <w:ind w:left="360"/>
        <w:jc w:val="both"/>
      </w:pPr>
      <w:r>
        <w:rPr>
          <w:rFonts w:ascii="Times New Roman" w:cs="Times New Roman" w:eastAsia="Times New Roman" w:hAnsi="Times New Roman"/>
          <w:sz w:val="22"/>
          <w:szCs w:val="22"/>
        </w:rPr>
        <w:t xml:space="preserve">The Partners will try to settle any dispute by discussion. If they cannot within 30 days, any of them may refer it to mediation by a mediator they agree or, failing agreement, one nominated by the Centre for Effective Dispute Resolution.</w:t>
      </w:r>
    </w:p>
    <w:p>
      <w:pPr>
        <w:keepNext/>
        <w:spacing w:after="80" w:before="240"/>
        <w:ind w:left="360"/>
      </w:pPr>
      <w:r>
        <w:rPr>
          <w:rFonts w:ascii="Times New Roman" w:cs="Times New Roman" w:eastAsia="Times New Roman" w:hAnsi="Times New Roman"/>
          <w:b/>
          <w:bCs/>
          <w:color w:val="1f2937"/>
          <w:sz w:val="22"/>
          <w:szCs w:val="22"/>
        </w:rPr>
        <w:t xml:space="preserve">8.2  Litigation</w:t>
      </w:r>
    </w:p>
    <w:p>
      <w:pPr>
        <w:spacing w:after="120" w:line="300"/>
        <w:ind w:left="360"/>
        <w:jc w:val="both"/>
      </w:pPr>
      <w:r>
        <w:rPr>
          <w:rFonts w:ascii="Times New Roman" w:cs="Times New Roman" w:eastAsia="Times New Roman" w:hAnsi="Times New Roman"/>
          <w:sz w:val="22"/>
          <w:szCs w:val="22"/>
        </w:rPr>
        <w:t xml:space="preserve">If mediation fails, the dispute may be referred to the courts.</w:t>
      </w:r>
    </w:p>
    <w:p>
      <w:pPr>
        <w:keepNext/>
        <w:spacing w:after="80" w:before="240"/>
        <w:ind w:left="0"/>
      </w:pPr>
      <w:r>
        <w:rPr>
          <w:rFonts w:ascii="Times New Roman" w:cs="Times New Roman" w:eastAsia="Times New Roman" w:hAnsi="Times New Roman"/>
          <w:b/>
          <w:bCs/>
          <w:color w:val="1f2937"/>
          <w:sz w:val="22"/>
          <w:szCs w:val="22"/>
        </w:rPr>
        <w:t xml:space="preserve">9  General</w:t>
      </w:r>
    </w:p>
    <w:p>
      <w:pPr>
        <w:keepNext/>
        <w:spacing w:after="80" w:before="240"/>
        <w:ind w:left="360"/>
      </w:pPr>
      <w:r>
        <w:rPr>
          <w:rFonts w:ascii="Times New Roman" w:cs="Times New Roman" w:eastAsia="Times New Roman" w:hAnsi="Times New Roman"/>
          <w:b/>
          <w:bCs/>
          <w:color w:val="1f2937"/>
          <w:sz w:val="22"/>
          <w:szCs w:val="22"/>
        </w:rPr>
        <w:t xml:space="preserve">9.1  Amendments</w:t>
      </w:r>
    </w:p>
    <w:p>
      <w:pPr>
        <w:spacing w:after="120" w:line="300"/>
        <w:ind w:left="360"/>
        <w:jc w:val="both"/>
      </w:pPr>
      <w:r>
        <w:rPr>
          <w:rFonts w:ascii="Times New Roman" w:cs="Times New Roman" w:eastAsia="Times New Roman" w:hAnsi="Times New Roman"/>
          <w:sz w:val="22"/>
          <w:szCs w:val="22"/>
        </w:rPr>
        <w:t xml:space="preserve">Any change to this agreement must be in writing and signed by all the Partners.</w:t>
      </w:r>
    </w:p>
    <w:p>
      <w:pPr>
        <w:keepNext/>
        <w:spacing w:after="80" w:before="240"/>
        <w:ind w:left="360"/>
      </w:pPr>
      <w:r>
        <w:rPr>
          <w:rFonts w:ascii="Times New Roman" w:cs="Times New Roman" w:eastAsia="Times New Roman" w:hAnsi="Times New Roman"/>
          <w:b/>
          <w:bCs/>
          <w:color w:val="1f2937"/>
          <w:sz w:val="22"/>
          <w:szCs w:val="22"/>
        </w:rPr>
        <w:t xml:space="preserve">9.2  Governing law and jurisdiction</w:t>
      </w:r>
    </w:p>
    <w:p>
      <w:pPr>
        <w:spacing w:after="120" w:line="300"/>
        <w:ind w:left="360"/>
        <w:jc w:val="both"/>
      </w:pPr>
      <w:r>
        <w:rPr>
          <w:rFonts w:ascii="Times New Roman" w:cs="Times New Roman" w:eastAsia="Times New Roman" w:hAnsi="Times New Roman"/>
          <w:sz w:val="22"/>
          <w:szCs w:val="22"/>
        </w:rPr>
        <w:t xml:space="preserve">This agreement is governed by the law of England and Wales, and the courts of England and Wales have exclusive jurisdiction.</w:t>
      </w:r>
    </w:p>
    <w:p>
      <w:pPr>
        <w:keepNext/>
        <w:spacing w:after="80" w:before="240"/>
        <w:ind w:left="0"/>
      </w:pPr>
      <w:r>
        <w:rPr>
          <w:rFonts w:ascii="Times New Roman" w:cs="Times New Roman" w:eastAsia="Times New Roman" w:hAnsi="Times New Roman"/>
          <w:b/>
          <w:bCs/>
          <w:color w:val="1f2937"/>
          <w:sz w:val="22"/>
          <w:szCs w:val="22"/>
        </w:rPr>
        <w:t xml:space="preserve">Schedule 1: the Partners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2250"/>
        <w:gridCol w:w="2250"/>
        <w:gridCol w:w="2250"/>
        <w:gridCol w:w="2250"/>
      </w:tblGrid>
      <w:tr>
        <w:trPr>
          <w:tblHeader/>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Partner</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Address</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Capital (£)</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bCs/>
                <w:sz w:val="20"/>
                <w:szCs w:val="20"/>
              </w:rPr>
              <w:t xml:space="preserve">Profit and loss share</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Joanna Ruth Pike</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 Lowther Street, York YO31 7LX</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£40,000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40%</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Ravi Mehta</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22 Heworth Green, York YO31 7SX</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£35,000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35%</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Sean Patrick O'Neill</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8 Bishopthorpe Road, York YO23 1JJ</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£25,000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25%</w:t>
            </w:r>
          </w:p>
        </w:tc>
      </w:tr>
      <w:tr>
        <w:trPr>
          <w:tblHeader w:val="off"/>
        </w:trPr>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Total</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£100,000</w:t>
            </w:r>
          </w:p>
        </w:tc>
        <w:tc>
          <w:tcPr>
            <w:tcW w:type="pct" w:w="1250"/>
            <w:tcBorders>
              <w:top w:val="single" w:color="BBBBBB" w:sz="4"/>
              <w:left w:val="single" w:color="BBBBBB" w:sz="4"/>
              <w:bottom w:val="single" w:color="BBBBBB" w:sz="4"/>
              <w:right w:val="single" w:color="BBBBBB" w:sz="4"/>
            </w:tcBorders>
          </w:tcPr>
          <w:p>
            <w:r>
              <w:rPr>
                <w:rFonts w:ascii="Times New Roman" w:cs="Times New Roman" w:eastAsia="Times New Roman" w:hAnsi="Times New Roman"/>
                <w:b w:val="false"/>
                <w:bCs w:val="false"/>
                <w:sz w:val="20"/>
                <w:szCs w:val="20"/>
              </w:rPr>
              <w:t xml:space="preserve">100%</w:t>
            </w:r>
          </w:p>
        </w:tc>
      </w:tr>
    </w:tbl>
    <w:p>
      <w:pPr>
        <w:keepNext/>
        <w:spacing w:after="80" w:before="240"/>
        <w:ind w:left="0"/>
      </w:pPr>
      <w:r>
        <w:rPr>
          <w:rFonts w:ascii="Times New Roman" w:cs="Times New Roman" w:eastAsia="Times New Roman" w:hAnsi="Times New Roman"/>
          <w:b/>
          <w:bCs/>
          <w:color w:val="1f2937"/>
          <w:sz w:val="22"/>
          <w:szCs w:val="22"/>
        </w:rPr>
        <w:t xml:space="preserve">Signatures</w:t>
      </w:r>
    </w:p>
    <w:p>
      <w:pPr>
        <w:spacing w:after="120" w:line="300"/>
        <w:ind w:left="0"/>
        <w:jc w:val="both"/>
      </w:pPr>
      <w:r>
        <w:rPr>
          <w:rFonts w:ascii="Times New Roman" w:cs="Times New Roman" w:eastAsia="Times New Roman" w:hAnsi="Times New Roman"/>
          <w:sz w:val="22"/>
          <w:szCs w:val="22"/>
        </w:rPr>
        <w:t xml:space="preserve">Signed by Joanna Ruth Pike: ______________ Date:</w:t>
      </w:r>
    </w:p>
    <w:p>
      <w:pPr>
        <w:spacing w:after="120" w:line="300"/>
        <w:ind w:left="0"/>
        <w:jc w:val="both"/>
      </w:pPr>
      <w:r>
        <w:rPr>
          <w:rFonts w:ascii="Times New Roman" w:cs="Times New Roman" w:eastAsia="Times New Roman" w:hAnsi="Times New Roman"/>
          <w:sz w:val="22"/>
          <w:szCs w:val="22"/>
        </w:rPr>
        <w:t xml:space="preserve">Signed by Ravi Mehta: ______________ Date:</w:t>
      </w:r>
    </w:p>
    <w:p>
      <w:pPr>
        <w:spacing w:after="120" w:line="300"/>
        <w:ind w:left="0"/>
        <w:jc w:val="both"/>
      </w:pPr>
      <w:r>
        <w:rPr>
          <w:rFonts w:ascii="Times New Roman" w:cs="Times New Roman" w:eastAsia="Times New Roman" w:hAnsi="Times New Roman"/>
          <w:sz w:val="22"/>
          <w:szCs w:val="22"/>
        </w:rPr>
        <w:t xml:space="preserve">Signed by Sean Patrick O'Neill: ______________ Date:</w:t>
      </w:r>
    </w:p>
    <w:sectPr>
      <w:footerReference w:type="default" r:id="rId6"/>
      <w:pgSz w:w="11906" w:h="16838" w:orient="portrait"/>
      <w:pgMar w:top="1417" w:right="1417" w:bottom="1417" w:left="1417"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66666"/>
        <w:sz w:val="16"/>
        <w:szCs w:val="16"/>
      </w:rPr>
      <w:t xml:space="preserve">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Larkspur Design: partnership agreement</dc:title>
  <dc:creator>DocuWeave</dc:creator>
  <cp:lastModifiedBy>Un-named</cp:lastModifiedBy>
  <cp:revision>1</cp:revision>
  <dcterms:created xsi:type="dcterms:W3CDTF">2026-10-07T12:08:13.242Z</dcterms:created>
  <dcterms:modified xsi:type="dcterms:W3CDTF">2026-10-07T12:08:13.242Z</dcterms:modified>
</cp:coreProperties>
</file>

<file path=docProps/custom.xml><?xml version="1.0" encoding="utf-8"?>
<Properties xmlns="http://schemas.openxmlformats.org/officeDocument/2006/custom-properties" xmlns:vt="http://schemas.openxmlformats.org/officeDocument/2006/docPropsVTypes"/>
</file>