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spacing w:after="80" w:before="240"/>
        <w:ind w:left="0"/>
      </w:pPr>
      <w:r>
        <w:rPr>
          <w:rFonts w:ascii="Times New Roman" w:cs="Times New Roman" w:eastAsia="Times New Roman" w:hAnsi="Times New Roman"/>
          <w:b/>
          <w:bCs/>
          <w:color w:val="1f2937"/>
          <w:sz w:val="22"/>
          <w:szCs w:val="22"/>
        </w:rPr>
        <w:t xml:space="preserve">Schedule 10 (Performance Levels)</w:t>
      </w:r>
    </w:p>
    <w:p>
      <w:pPr>
        <w:keepNext/>
        <w:spacing w:after="80" w:before="240"/>
        <w:ind w:left="0"/>
      </w:pPr>
      <w:r>
        <w:rPr>
          <w:rFonts w:ascii="Times New Roman" w:cs="Times New Roman" w:eastAsia="Times New Roman" w:hAnsi="Times New Roman"/>
          <w:b/>
          <w:bCs/>
          <w:color w:val="1f2937"/>
          <w:sz w:val="22"/>
          <w:szCs w:val="22"/>
        </w:rPr>
        <w:t xml:space="preserve">1  Definitions</w:t>
      </w:r>
    </w:p>
    <w:p>
      <w:pPr>
        <w:spacing w:after="120" w:line="300"/>
        <w:ind w:left="0"/>
        <w:jc w:val="both"/>
      </w:pPr>
      <w:r>
        <w:rPr>
          <w:rFonts w:ascii="Times New Roman" w:cs="Times New Roman" w:eastAsia="Times New Roman" w:hAnsi="Times New Roman"/>
          <w:sz w:val="22"/>
          <w:szCs w:val="22"/>
        </w:rPr>
        <w:t xml:space="preserve">1.1 In this Schedule, the following words shall have the following meanings and they shall supplement Schedule 1 (Definitions):</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2637"/>
        <w:gridCol w:w="6363"/>
      </w:tblGrid>
      <w:tr>
        <w:trPr>
          <w:tblHeader w:val="off"/>
        </w:trPr>
        <w:tc>
          <w:tcPr>
            <w:tcW w:type="pct" w:w="145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"Critical KPI Failure"</w:t>
            </w:r>
          </w:p>
        </w:tc>
        <w:tc>
          <w:tcPr>
            <w:tcW w:type="pct" w:w="355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has the meaning given to it in the Award Form;</w:t>
            </w:r>
          </w:p>
        </w:tc>
      </w:tr>
      <w:tr>
        <w:trPr>
          <w:tblHeader w:val="off"/>
        </w:trPr>
        <w:tc>
          <w:tcPr>
            <w:tcW w:type="pct" w:w="145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"KPI Failure"</w:t>
            </w:r>
          </w:p>
        </w:tc>
        <w:tc>
          <w:tcPr>
            <w:tcW w:type="pct" w:w="355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a failure to meet the KPI Performance Measure in respect of a Key Performance Indicator;</w:t>
            </w:r>
          </w:p>
        </w:tc>
      </w:tr>
      <w:tr>
        <w:trPr>
          <w:tblHeader w:val="off"/>
        </w:trPr>
        <w:tc>
          <w:tcPr>
            <w:tcW w:type="pct" w:w="145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"KPI Performance Measure"</w:t>
            </w:r>
          </w:p>
        </w:tc>
        <w:tc>
          <w:tcPr>
            <w:tcW w:type="pct" w:w="355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shall be as set out against the relevant Key Performance Indicator in the Annex to Part A of this Schedule;</w:t>
            </w:r>
          </w:p>
        </w:tc>
      </w:tr>
      <w:tr>
        <w:trPr>
          <w:tblHeader w:val="off"/>
        </w:trPr>
        <w:tc>
          <w:tcPr>
            <w:tcW w:type="pct" w:w="145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"KPI Threshold"</w:t>
            </w:r>
          </w:p>
        </w:tc>
        <w:tc>
          <w:tcPr>
            <w:tcW w:type="pct" w:w="355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shall be as set out against the relevant Key Performance Indicator in the Annex to Part A of this Schedule;</w:t>
            </w:r>
          </w:p>
        </w:tc>
      </w:tr>
      <w:tr>
        <w:trPr>
          <w:tblHeader w:val="off"/>
        </w:trPr>
        <w:tc>
          <w:tcPr>
            <w:tcW w:type="pct" w:w="145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“Measurement Period”</w:t>
            </w:r>
          </w:p>
        </w:tc>
        <w:tc>
          <w:tcPr>
            <w:tcW w:type="pct" w:w="355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in relation to a Key Performance Indicator, the period over which the Supplier’s performance is measured as set out against the relevant Key Performance Indicator in the Annex to Part A of this Schedule;</w:t>
            </w:r>
          </w:p>
        </w:tc>
      </w:tr>
      <w:tr>
        <w:trPr>
          <w:tblHeader w:val="off"/>
        </w:trPr>
        <w:tc>
          <w:tcPr>
            <w:tcW w:type="pct" w:w="145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"Performance Monitoring Reports"</w:t>
            </w:r>
          </w:p>
        </w:tc>
        <w:tc>
          <w:tcPr>
            <w:tcW w:type="pct" w:w="355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has the meaning given in Paragraph 1.2 of Part B of this Schedule;</w:t>
            </w:r>
          </w:p>
        </w:tc>
      </w:tr>
      <w:tr>
        <w:trPr>
          <w:tblHeader w:val="off"/>
        </w:trPr>
        <w:tc>
          <w:tcPr>
            <w:tcW w:type="pct" w:w="145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"Performance Review Meetings"</w:t>
            </w:r>
          </w:p>
        </w:tc>
        <w:tc>
          <w:tcPr>
            <w:tcW w:type="pct" w:w="355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has the meaning given in Paragraph 1.3 of Part B of this Schedule;</w:t>
            </w:r>
          </w:p>
        </w:tc>
      </w:tr>
      <w:tr>
        <w:trPr>
          <w:tblHeader w:val="off"/>
        </w:trPr>
        <w:tc>
          <w:tcPr>
            <w:tcW w:type="pct" w:w="145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"Service Credits"</w:t>
            </w:r>
          </w:p>
        </w:tc>
        <w:tc>
          <w:tcPr>
            <w:tcW w:type="pct" w:w="355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any service credits specified in the Annex to Part A of this Schedule being payable by the Supplier to the Buyer in respect of any failure by the Supplier to meet one or more Key Performance Indicators; and</w:t>
            </w:r>
          </w:p>
        </w:tc>
      </w:tr>
      <w:tr>
        <w:trPr>
          <w:tblHeader w:val="off"/>
        </w:trPr>
        <w:tc>
          <w:tcPr>
            <w:tcW w:type="pct" w:w="145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"Service Credit Cap"</w:t>
            </w:r>
          </w:p>
        </w:tc>
        <w:tc>
          <w:tcPr>
            <w:tcW w:type="pct" w:w="355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has the meaning given to it in the Award Form.</w:t>
            </w:r>
          </w:p>
        </w:tc>
      </w:tr>
    </w:tbl>
    <w:p>
      <w:pPr>
        <w:keepNext/>
        <w:spacing w:after="80" w:before="240"/>
        <w:ind w:left="0"/>
      </w:pPr>
      <w:r>
        <w:rPr>
          <w:rFonts w:ascii="Times New Roman" w:cs="Times New Roman" w:eastAsia="Times New Roman" w:hAnsi="Times New Roman"/>
          <w:b/>
          <w:bCs/>
          <w:color w:val="1f2937"/>
          <w:sz w:val="22"/>
          <w:szCs w:val="22"/>
        </w:rPr>
        <w:t xml:space="preserve">2  What happens if you don’t meet the Key Performance Indicators</w:t>
      </w:r>
    </w:p>
    <w:p>
      <w:pPr>
        <w:spacing w:after="120" w:line="300"/>
        <w:ind w:left="0"/>
        <w:jc w:val="both"/>
      </w:pPr>
      <w:r>
        <w:rPr>
          <w:rFonts w:ascii="Times New Roman" w:cs="Times New Roman" w:eastAsia="Times New Roman" w:hAnsi="Times New Roman"/>
          <w:sz w:val="22"/>
          <w:szCs w:val="22"/>
        </w:rPr>
        <w:t xml:space="preserve">2.1 The Supplier shall at all times provide the Deliverables to meet or exceed the KPI Performance Measure for each Key Performance Indicator.</w:t>
      </w:r>
    </w:p>
    <w:p>
      <w:pPr>
        <w:spacing w:after="120" w:line="300"/>
        <w:ind w:left="0"/>
        <w:jc w:val="both"/>
      </w:pPr>
      <w:r>
        <w:rPr>
          <w:rFonts w:ascii="Times New Roman" w:cs="Times New Roman" w:eastAsia="Times New Roman" w:hAnsi="Times New Roman"/>
          <w:sz w:val="22"/>
          <w:szCs w:val="22"/>
        </w:rPr>
        <w:t xml:space="preserve">2.2 The Supplier acknowledges that any KPI Failure shall entitle the Buyer to the rights set out in Part A of this Schedule including the right to any Service Credits and that any Service Credit is a price adjustment and not an estimate of the Loss that may be suffered by the Buyer as a result of the Supplier’s failure to meet any KPI Performance Measure.</w:t>
      </w:r>
    </w:p>
    <w:p>
      <w:pPr>
        <w:spacing w:after="120" w:line="300"/>
        <w:ind w:left="0"/>
        <w:jc w:val="both"/>
      </w:pPr>
      <w:r>
        <w:rPr>
          <w:rFonts w:ascii="Times New Roman" w:cs="Times New Roman" w:eastAsia="Times New Roman" w:hAnsi="Times New Roman"/>
          <w:sz w:val="22"/>
          <w:szCs w:val="22"/>
        </w:rPr>
        <w:t xml:space="preserve">2.3 The Supplier shall send Performance Monitoring Reports to the Buyer detailing the level of service which was achieved in accordance with the provisions of Part B (Performance Monitoring) of this Schedule to enable the Buyer to assess the Supplier’s performance against each Key Performance Indicator in each Measurement Period.</w:t>
      </w:r>
    </w:p>
    <w:p>
      <w:pPr>
        <w:spacing w:after="120" w:line="300"/>
        <w:ind w:left="0"/>
        <w:jc w:val="both"/>
      </w:pPr>
      <w:r>
        <w:rPr>
          <w:rFonts w:ascii="Times New Roman" w:cs="Times New Roman" w:eastAsia="Times New Roman" w:hAnsi="Times New Roman"/>
          <w:sz w:val="22"/>
          <w:szCs w:val="22"/>
        </w:rPr>
        <w:t xml:space="preserve">2.4 A Service Credit shall be the Buyer’s exclusive financial remedy for a KPI Failure except where:</w:t>
      </w:r>
    </w:p>
    <w:p>
      <w:pPr>
        <w:spacing w:after="120" w:line="300"/>
        <w:ind w:left="0"/>
        <w:jc w:val="both"/>
      </w:pPr>
      <w:r>
        <w:rPr>
          <w:rFonts w:ascii="Times New Roman" w:cs="Times New Roman" w:eastAsia="Times New Roman" w:hAnsi="Times New Roman"/>
          <w:sz w:val="22"/>
          <w:szCs w:val="22"/>
        </w:rPr>
        <w:t xml:space="preserve">2.4.1 the Supplier has over the previous twelve (12) Month period exceeded the Service Credit Cap; and/or</w:t>
      </w:r>
    </w:p>
    <w:p>
      <w:pPr>
        <w:spacing w:after="120" w:line="300"/>
        <w:ind w:left="0"/>
        <w:jc w:val="both"/>
      </w:pPr>
      <w:r>
        <w:rPr>
          <w:rFonts w:ascii="Times New Roman" w:cs="Times New Roman" w:eastAsia="Times New Roman" w:hAnsi="Times New Roman"/>
          <w:sz w:val="22"/>
          <w:szCs w:val="22"/>
        </w:rPr>
        <w:t xml:space="preserve">2.4.2 the KPI Failure:</w:t>
      </w:r>
    </w:p>
    <w:p>
      <w:pPr>
        <w:spacing w:after="120" w:line="300"/>
        <w:ind w:left="0"/>
        <w:jc w:val="both"/>
      </w:pPr>
      <w:r>
        <w:rPr>
          <w:rFonts w:ascii="Times New Roman" w:cs="Times New Roman" w:eastAsia="Times New Roman" w:hAnsi="Times New Roman"/>
          <w:sz w:val="22"/>
          <w:szCs w:val="22"/>
        </w:rPr>
        <w:t xml:space="preserve">a) exceeds the relevant KPI Threshold;</w:t>
      </w:r>
    </w:p>
    <w:p>
      <w:pPr>
        <w:spacing w:after="120" w:line="300"/>
        <w:ind w:left="0"/>
        <w:jc w:val="both"/>
      </w:pPr>
      <w:r>
        <w:rPr>
          <w:rFonts w:ascii="Times New Roman" w:cs="Times New Roman" w:eastAsia="Times New Roman" w:hAnsi="Times New Roman"/>
          <w:sz w:val="22"/>
          <w:szCs w:val="22"/>
        </w:rPr>
        <w:t xml:space="preserve">b) has arisen due to a wilful Default by the Supplier;</w:t>
      </w:r>
    </w:p>
    <w:p>
      <w:pPr>
        <w:spacing w:after="120" w:line="300"/>
        <w:ind w:left="0"/>
        <w:jc w:val="both"/>
      </w:pPr>
      <w:r>
        <w:rPr>
          <w:rFonts w:ascii="Times New Roman" w:cs="Times New Roman" w:eastAsia="Times New Roman" w:hAnsi="Times New Roman"/>
          <w:sz w:val="22"/>
          <w:szCs w:val="22"/>
        </w:rPr>
        <w:t xml:space="preserve">c) results in the corruption or loss of any Government Data (in which case the indemnity in Clause 18.6.4 and any or all of the other provisions of Clauses 18.4 and 18.5 and/or Clause 18.6 of the Core Terms may apply); and/or</w:t>
      </w:r>
    </w:p>
    <w:p>
      <w:pPr>
        <w:spacing w:after="120" w:line="300"/>
        <w:ind w:left="0"/>
        <w:jc w:val="both"/>
      </w:pPr>
      <w:r>
        <w:rPr>
          <w:rFonts w:ascii="Times New Roman" w:cs="Times New Roman" w:eastAsia="Times New Roman" w:hAnsi="Times New Roman"/>
          <w:sz w:val="22"/>
          <w:szCs w:val="22"/>
        </w:rPr>
        <w:t xml:space="preserve">d) results in the Buyer being required to make a compensation payment to one or more third parties; and/or</w:t>
      </w:r>
    </w:p>
    <w:p>
      <w:pPr>
        <w:spacing w:after="120" w:line="300"/>
        <w:ind w:left="0"/>
        <w:jc w:val="both"/>
      </w:pPr>
      <w:r>
        <w:rPr>
          <w:rFonts w:ascii="Times New Roman" w:cs="Times New Roman" w:eastAsia="Times New Roman" w:hAnsi="Times New Roman"/>
          <w:sz w:val="22"/>
          <w:szCs w:val="22"/>
        </w:rPr>
        <w:t xml:space="preserve">e) the Buyer is also entitled to or does terminate this Contract pursuant to Clause 14.4 of the Core Terms (When the Buyer can end the contract).</w:t>
      </w:r>
    </w:p>
    <w:p>
      <w:pPr>
        <w:keepNext/>
        <w:spacing w:after="80" w:before="240"/>
        <w:ind w:left="0"/>
      </w:pPr>
      <w:r>
        <w:rPr>
          <w:rFonts w:ascii="Times New Roman" w:cs="Times New Roman" w:eastAsia="Times New Roman" w:hAnsi="Times New Roman"/>
          <w:b/>
          <w:bCs/>
          <w:color w:val="1f2937"/>
          <w:sz w:val="22"/>
          <w:szCs w:val="22"/>
        </w:rPr>
        <w:t xml:space="preserve">3  Critical KPI Failure</w:t>
      </w:r>
    </w:p>
    <w:p>
      <w:pPr>
        <w:spacing w:after="120" w:line="300"/>
        <w:ind w:left="0"/>
        <w:jc w:val="both"/>
      </w:pPr>
      <w:r>
        <w:rPr>
          <w:rFonts w:ascii="Times New Roman" w:cs="Times New Roman" w:eastAsia="Times New Roman" w:hAnsi="Times New Roman"/>
          <w:sz w:val="22"/>
          <w:szCs w:val="22"/>
        </w:rPr>
        <w:t xml:space="preserve">On the occurrence of a Critical KPI Failure:</w:t>
      </w:r>
    </w:p>
    <w:p>
      <w:pPr>
        <w:spacing w:after="120" w:line="300"/>
        <w:ind w:left="0"/>
        <w:jc w:val="both"/>
      </w:pPr>
      <w:r>
        <w:rPr>
          <w:rFonts w:ascii="Times New Roman" w:cs="Times New Roman" w:eastAsia="Times New Roman" w:hAnsi="Times New Roman"/>
          <w:sz w:val="22"/>
          <w:szCs w:val="22"/>
        </w:rPr>
        <w:t xml:space="preserve">3.1 any Service Credits that would otherwise have accrued during the relevant Service Period shall not accrue; and</w:t>
      </w:r>
    </w:p>
    <w:p>
      <w:pPr>
        <w:spacing w:after="120" w:line="300"/>
        <w:ind w:left="0"/>
        <w:jc w:val="both"/>
      </w:pPr>
      <w:r>
        <w:rPr>
          <w:rFonts w:ascii="Times New Roman" w:cs="Times New Roman" w:eastAsia="Times New Roman" w:hAnsi="Times New Roman"/>
          <w:sz w:val="22"/>
          <w:szCs w:val="22"/>
        </w:rPr>
        <w:t xml:space="preserve">3.2 the Buyer shall (subject to the Service Credit Cap) be entitled to withhold and retain as compensation a sum equal to any Charges which would otherwise have been due to the Supplier in respect of that Service Period ("Compensation for Critical KPI Failure"),</w:t>
      </w:r>
    </w:p>
    <w:p>
      <w:pPr>
        <w:spacing w:after="120" w:line="300"/>
        <w:ind w:left="0"/>
        <w:jc w:val="both"/>
      </w:pPr>
      <w:r>
        <w:rPr>
          <w:rFonts w:ascii="Times New Roman" w:cs="Times New Roman" w:eastAsia="Times New Roman" w:hAnsi="Times New Roman"/>
          <w:sz w:val="22"/>
          <w:szCs w:val="22"/>
        </w:rPr>
        <w:t xml:space="preserve">provided that the operation of this Paragraph 3 shall be without prejudice to the right of the Buyer to terminate this Contract and/or to claim damages from the Supplier for Material Default.</w:t>
      </w:r>
    </w:p>
    <w:p>
      <w:pPr>
        <w:keepNext/>
        <w:spacing w:after="80" w:before="240"/>
        <w:ind w:left="0"/>
      </w:pPr>
      <w:r>
        <w:rPr>
          <w:rFonts w:ascii="Times New Roman" w:cs="Times New Roman" w:eastAsia="Times New Roman" w:hAnsi="Times New Roman"/>
          <w:b/>
          <w:bCs/>
          <w:color w:val="1f2937"/>
          <w:sz w:val="22"/>
          <w:szCs w:val="22"/>
        </w:rPr>
        <w:t xml:space="preserve">Part A: Key Performance Indicators and Service Credits</w:t>
      </w:r>
    </w:p>
    <w:p>
      <w:pPr>
        <w:keepNext/>
        <w:spacing w:after="80" w:before="240"/>
        <w:ind w:left="0"/>
      </w:pPr>
      <w:r>
        <w:rPr>
          <w:rFonts w:ascii="Times New Roman" w:cs="Times New Roman" w:eastAsia="Times New Roman" w:hAnsi="Times New Roman"/>
          <w:b/>
          <w:bCs/>
          <w:color w:val="1f2937"/>
          <w:sz w:val="22"/>
          <w:szCs w:val="22"/>
        </w:rPr>
        <w:t xml:space="preserve">1 Key Performance Indicators</w:t>
      </w:r>
    </w:p>
    <w:p>
      <w:pPr>
        <w:spacing w:after="120" w:line="300"/>
        <w:ind w:left="0"/>
        <w:jc w:val="both"/>
      </w:pPr>
      <w:r>
        <w:rPr>
          <w:rFonts w:ascii="Times New Roman" w:cs="Times New Roman" w:eastAsia="Times New Roman" w:hAnsi="Times New Roman"/>
          <w:sz w:val="22"/>
          <w:szCs w:val="22"/>
        </w:rPr>
        <w:t xml:space="preserve">If the level of performance of the Supplier:</w:t>
      </w:r>
    </w:p>
    <w:p>
      <w:pPr>
        <w:spacing w:after="120" w:line="300"/>
        <w:ind w:left="0"/>
        <w:jc w:val="both"/>
      </w:pPr>
      <w:r>
        <w:rPr>
          <w:rFonts w:ascii="Times New Roman" w:cs="Times New Roman" w:eastAsia="Times New Roman" w:hAnsi="Times New Roman"/>
          <w:sz w:val="22"/>
          <w:szCs w:val="22"/>
        </w:rPr>
        <w:t xml:space="preserve">1.1 is likely to or fails to meet any KPI Performance Measure; or</w:t>
      </w:r>
    </w:p>
    <w:p>
      <w:pPr>
        <w:spacing w:after="120" w:line="300"/>
        <w:ind w:left="0"/>
        <w:jc w:val="both"/>
      </w:pPr>
      <w:r>
        <w:rPr>
          <w:rFonts w:ascii="Times New Roman" w:cs="Times New Roman" w:eastAsia="Times New Roman" w:hAnsi="Times New Roman"/>
          <w:sz w:val="22"/>
          <w:szCs w:val="22"/>
        </w:rPr>
        <w:t xml:space="preserve">1.2 is likely to cause or causes a Critical KPI Failure to occur,</w:t>
      </w:r>
    </w:p>
    <w:p>
      <w:pPr>
        <w:spacing w:after="120" w:line="300"/>
        <w:ind w:left="0"/>
        <w:jc w:val="both"/>
      </w:pPr>
      <w:r>
        <w:rPr>
          <w:rFonts w:ascii="Times New Roman" w:cs="Times New Roman" w:eastAsia="Times New Roman" w:hAnsi="Times New Roman"/>
          <w:sz w:val="22"/>
          <w:szCs w:val="22"/>
        </w:rPr>
        <w:t xml:space="preserve">the Supplier shall immediately notify the Buyer in writing and the Buyer, in its absolute discretion and without limiting any other of its rights, may:</w:t>
      </w:r>
    </w:p>
    <w:p>
      <w:pPr>
        <w:spacing w:after="120" w:line="300"/>
        <w:ind w:left="0"/>
        <w:jc w:val="both"/>
      </w:pPr>
      <w:r>
        <w:rPr>
          <w:rFonts w:ascii="Times New Roman" w:cs="Times New Roman" w:eastAsia="Times New Roman" w:hAnsi="Times New Roman"/>
          <w:sz w:val="22"/>
          <w:szCs w:val="22"/>
        </w:rPr>
        <w:t xml:space="preserve">1.2.1 require the Supplier to immediately take all remedial action that is reasonable to mitigate the impact on the Buyer and to rectify or prevent a KPI Failure or Critical KPI Failure from taking place or recurring;</w:t>
      </w:r>
    </w:p>
    <w:p>
      <w:pPr>
        <w:spacing w:after="120" w:line="300"/>
        <w:ind w:left="0"/>
        <w:jc w:val="both"/>
      </w:pPr>
      <w:r>
        <w:rPr>
          <w:rFonts w:ascii="Times New Roman" w:cs="Times New Roman" w:eastAsia="Times New Roman" w:hAnsi="Times New Roman"/>
          <w:sz w:val="22"/>
          <w:szCs w:val="22"/>
        </w:rPr>
        <w:t xml:space="preserve">1.2.2 instruct the Supplier to comply with the Rectification Plan Process;</w:t>
      </w:r>
    </w:p>
    <w:p>
      <w:pPr>
        <w:spacing w:after="120" w:line="300"/>
        <w:ind w:left="0"/>
        <w:jc w:val="both"/>
      </w:pPr>
      <w:r>
        <w:rPr>
          <w:rFonts w:ascii="Times New Roman" w:cs="Times New Roman" w:eastAsia="Times New Roman" w:hAnsi="Times New Roman"/>
          <w:sz w:val="22"/>
          <w:szCs w:val="22"/>
        </w:rPr>
        <w:t xml:space="preserve">1.2.3 if a KPI Failure has occurred, deduct the applicable Service Credits payable by the Supplier to the Buyer; and/or</w:t>
      </w:r>
    </w:p>
    <w:p>
      <w:pPr>
        <w:spacing w:after="120" w:line="300"/>
        <w:ind w:left="0"/>
        <w:jc w:val="both"/>
      </w:pPr>
      <w:r>
        <w:rPr>
          <w:rFonts w:ascii="Times New Roman" w:cs="Times New Roman" w:eastAsia="Times New Roman" w:hAnsi="Times New Roman"/>
          <w:sz w:val="22"/>
          <w:szCs w:val="22"/>
        </w:rPr>
        <w:t xml:space="preserve">1.2.4 if a Critical KPI Failure has occurred, exercise its right to Compensation for Critical KPI Failure (including the right to terminate for Material Default and the consequences of termination in Clause 14.5.1 shall apply).</w:t>
      </w:r>
    </w:p>
    <w:p>
      <w:pPr>
        <w:keepNext/>
        <w:spacing w:after="80" w:before="240"/>
        <w:ind w:left="0"/>
      </w:pPr>
      <w:r>
        <w:rPr>
          <w:rFonts w:ascii="Times New Roman" w:cs="Times New Roman" w:eastAsia="Times New Roman" w:hAnsi="Times New Roman"/>
          <w:b/>
          <w:bCs/>
          <w:color w:val="1f2937"/>
          <w:sz w:val="22"/>
          <w:szCs w:val="22"/>
        </w:rPr>
        <w:t xml:space="preserve">2 Service Credits</w:t>
      </w:r>
    </w:p>
    <w:p>
      <w:pPr>
        <w:spacing w:after="120" w:line="300"/>
        <w:ind w:left="0"/>
        <w:jc w:val="both"/>
      </w:pPr>
      <w:r>
        <w:rPr>
          <w:rFonts w:ascii="Times New Roman" w:cs="Times New Roman" w:eastAsia="Times New Roman" w:hAnsi="Times New Roman"/>
          <w:sz w:val="22"/>
          <w:szCs w:val="22"/>
        </w:rPr>
        <w:t xml:space="preserve">2.1 The Buyer shall use the Performance Monitoring Reports supplied by the Supplier to verify the calculation and accuracy of the Service Credits, if any, applicable to each Service Period.</w:t>
      </w:r>
    </w:p>
    <w:p>
      <w:pPr>
        <w:spacing w:after="120" w:line="300"/>
        <w:ind w:left="0"/>
        <w:jc w:val="both"/>
      </w:pPr>
      <w:r>
        <w:rPr>
          <w:rFonts w:ascii="Times New Roman" w:cs="Times New Roman" w:eastAsia="Times New Roman" w:hAnsi="Times New Roman"/>
          <w:sz w:val="22"/>
          <w:szCs w:val="22"/>
        </w:rPr>
        <w:t xml:space="preserve">2.2 Service Credits are a reduction of the amounts payable in respect of the Deliverables and do not include VAT. The Supplier shall set-off the value of any Service Credits against the appropriate invoice in accordance with calculation formula in the Annex to Part A of this Schedule.</w:t>
      </w:r>
    </w:p>
    <w:p>
      <w:pPr>
        <w:keepNext/>
        <w:spacing w:after="80" w:before="240"/>
        <w:ind w:left="0"/>
      </w:pPr>
      <w:r>
        <w:rPr>
          <w:rFonts w:ascii="Times New Roman" w:cs="Times New Roman" w:eastAsia="Times New Roman" w:hAnsi="Times New Roman"/>
          <w:b/>
          <w:bCs/>
          <w:color w:val="1f2937"/>
          <w:sz w:val="22"/>
          <w:szCs w:val="22"/>
        </w:rPr>
        <w:t xml:space="preserve">Annex to Part A: Key Performance Indicators and Service Credits Table</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1368"/>
        <w:gridCol w:w="675"/>
        <w:gridCol w:w="1008"/>
        <w:gridCol w:w="1242"/>
        <w:gridCol w:w="1476"/>
        <w:gridCol w:w="3231"/>
      </w:tblGrid>
      <w:tr>
        <w:trPr>
          <w:tblHeader/>
        </w:trPr>
        <w:tc>
          <w:tcPr>
            <w:tcW w:type="pct" w:w="75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bCs/>
                <w:sz w:val="20"/>
                <w:szCs w:val="20"/>
              </w:rPr>
              <w:t xml:space="preserve">Key Performance Indicator Performance Criterion</w:t>
            </w:r>
          </w:p>
        </w:tc>
        <w:tc>
          <w:tcPr>
            <w:tcW w:type="pct" w:w="40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bCs/>
                <w:sz w:val="20"/>
                <w:szCs w:val="20"/>
              </w:rPr>
              <w:t xml:space="preserve">Key Indicator</w:t>
            </w:r>
          </w:p>
        </w:tc>
        <w:tc>
          <w:tcPr>
            <w:tcW w:type="pct" w:w="55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bCs/>
                <w:sz w:val="20"/>
                <w:szCs w:val="20"/>
              </w:rPr>
              <w:t xml:space="preserve">KPI Performance Measure</w:t>
            </w:r>
          </w:p>
        </w:tc>
        <w:tc>
          <w:tcPr>
            <w:tcW w:type="pct" w:w="70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bCs/>
                <w:sz w:val="20"/>
                <w:szCs w:val="20"/>
              </w:rPr>
              <w:t xml:space="preserve">KPI Threshold</w:t>
            </w:r>
          </w:p>
        </w:tc>
        <w:tc>
          <w:tcPr>
            <w:tcW w:type="pct" w:w="80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bCs/>
                <w:sz w:val="20"/>
                <w:szCs w:val="20"/>
              </w:rPr>
              <w:t xml:space="preserve">Service Credit for each Service Period</w:t>
            </w:r>
          </w:p>
        </w:tc>
        <w:tc>
          <w:tcPr>
            <w:tcW w:type="pct" w:w="180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bCs/>
                <w:sz w:val="20"/>
                <w:szCs w:val="20"/>
              </w:rPr>
              <w:t xml:space="preserve">Measurement Period</w:t>
            </w:r>
          </w:p>
        </w:tc>
      </w:tr>
      <w:tr>
        <w:trPr>
          <w:tblHeader w:val="off"/>
        </w:trPr>
        <w:tc>
          <w:tcPr>
            <w:tcW w:type="pct" w:w="75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Availability of the hosted service desk portal</w:t>
            </w:r>
          </w:p>
        </w:tc>
        <w:tc>
          <w:tcPr>
            <w:tcW w:type="pct" w:w="40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Availability</w:t>
            </w:r>
          </w:p>
        </w:tc>
        <w:tc>
          <w:tcPr>
            <w:tcW w:type="pct" w:w="55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99.5% uptime in support hours</w:t>
            </w:r>
          </w:p>
        </w:tc>
        <w:tc>
          <w:tcPr>
            <w:tcW w:type="pct" w:w="70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97%</w:t>
            </w:r>
          </w:p>
        </w:tc>
        <w:tc>
          <w:tcPr>
            <w:tcW w:type="pct" w:w="80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1% of monthly Charges for each 0.5% below the measure</w:t>
            </w:r>
          </w:p>
        </w:tc>
        <w:tc>
          <w:tcPr>
            <w:tcW w:type="pct" w:w="180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Monthly</w:t>
            </w:r>
          </w:p>
        </w:tc>
      </w:tr>
      <w:tr>
        <w:trPr>
          <w:tblHeader w:val="off"/>
        </w:trPr>
        <w:tc>
          <w:tcPr>
            <w:tcW w:type="pct" w:w="75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Response to Priority 1 incidents</w:t>
            </w:r>
          </w:p>
        </w:tc>
        <w:tc>
          <w:tcPr>
            <w:tcW w:type="pct" w:w="40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Timeliness</w:t>
            </w:r>
          </w:p>
        </w:tc>
        <w:tc>
          <w:tcPr>
            <w:tcW w:type="pct" w:w="55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95% responded to within 30 minutes</w:t>
            </w:r>
          </w:p>
        </w:tc>
        <w:tc>
          <w:tcPr>
            <w:tcW w:type="pct" w:w="70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90%</w:t>
            </w:r>
          </w:p>
        </w:tc>
        <w:tc>
          <w:tcPr>
            <w:tcW w:type="pct" w:w="80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0.5% of monthly Charges for each 1% below the measure</w:t>
            </w:r>
          </w:p>
        </w:tc>
        <w:tc>
          <w:tcPr>
            <w:tcW w:type="pct" w:w="180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Monthly</w:t>
            </w:r>
          </w:p>
        </w:tc>
      </w:tr>
      <w:tr>
        <w:trPr>
          <w:tblHeader w:val="off"/>
        </w:trPr>
        <w:tc>
          <w:tcPr>
            <w:tcW w:type="pct" w:w="75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Resolution of Priority 2 incidents</w:t>
            </w:r>
          </w:p>
        </w:tc>
        <w:tc>
          <w:tcPr>
            <w:tcW w:type="pct" w:w="40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Timeliness</w:t>
            </w:r>
          </w:p>
        </w:tc>
        <w:tc>
          <w:tcPr>
            <w:tcW w:type="pct" w:w="55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90% resolved within 8 support hours</w:t>
            </w:r>
          </w:p>
        </w:tc>
        <w:tc>
          <w:tcPr>
            <w:tcW w:type="pct" w:w="70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85%</w:t>
            </w:r>
          </w:p>
        </w:tc>
        <w:tc>
          <w:tcPr>
            <w:tcW w:type="pct" w:w="80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0.5% of monthly Charges for each 1% below the measure</w:t>
            </w:r>
          </w:p>
        </w:tc>
        <w:tc>
          <w:tcPr>
            <w:tcW w:type="pct" w:w="180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Monthly</w:t>
            </w:r>
          </w:p>
        </w:tc>
      </w:tr>
      <w:tr>
        <w:trPr>
          <w:tblHeader w:val="off"/>
        </w:trPr>
        <w:tc>
          <w:tcPr>
            <w:tcW w:type="pct" w:w="75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Local apprenticeships in the support team (Social Value)</w:t>
            </w:r>
          </w:p>
        </w:tc>
        <w:tc>
          <w:tcPr>
            <w:tcW w:type="pct" w:w="40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Social value</w:t>
            </w:r>
          </w:p>
        </w:tc>
        <w:tc>
          <w:tcPr>
            <w:tcW w:type="pct" w:w="55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2 apprentices in post</w:t>
            </w:r>
          </w:p>
        </w:tc>
        <w:tc>
          <w:tcPr>
            <w:tcW w:type="pct" w:w="70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1 apprentice</w:t>
            </w:r>
          </w:p>
        </w:tc>
        <w:tc>
          <w:tcPr>
            <w:tcW w:type="pct" w:w="80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0%</w:t>
            </w:r>
          </w:p>
        </w:tc>
        <w:tc>
          <w:tcPr>
            <w:tcW w:type="pct" w:w="180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Quarterly</w:t>
            </w:r>
          </w:p>
        </w:tc>
      </w:tr>
    </w:tbl>
    <w:p>
      <w:pPr>
        <w:spacing w:after="120" w:line="300"/>
        <w:ind w:left="0"/>
        <w:jc w:val="both"/>
      </w:pPr>
      <w:r>
        <w:rPr>
          <w:rFonts w:ascii="Times New Roman" w:cs="Times New Roman" w:eastAsia="Times New Roman" w:hAnsi="Times New Roman"/>
          <w:sz w:val="22"/>
          <w:szCs w:val="22"/>
        </w:rPr>
        <w:t xml:space="preserve">The Service Credits shall be calculated on the basis of the following formula:</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4356"/>
        <w:gridCol w:w="675"/>
        <w:gridCol w:w="3978"/>
      </w:tblGrid>
      <w:tr>
        <w:trPr>
          <w:tblHeader w:val="off"/>
        </w:trPr>
        <w:tc>
          <w:tcPr>
            <w:tcW w:type="pct" w:w="240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Formula: x% (KPI Performance Measure) - x% (actual Key Performance Indicator performance)</w:t>
            </w:r>
          </w:p>
        </w:tc>
        <w:tc>
          <w:tcPr>
            <w:tcW w:type="pct" w:w="40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w:t>
            </w:r>
          </w:p>
        </w:tc>
        <w:tc>
          <w:tcPr>
            <w:tcW w:type="pct" w:w="220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x% of the Charges payable to the Buyer as Service Credits to be deducted from the next Invoice payable by the Buyer</w:t>
            </w:r>
          </w:p>
        </w:tc>
      </w:tr>
      <w:tr>
        <w:trPr>
          <w:tblHeader w:val="off"/>
        </w:trPr>
        <w:tc>
          <w:tcPr>
            <w:tcW w:type="pct" w:w="240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Worked example: 98% (e.g. KPI Performance Measure requirement for accurate and timely billing Key Performance Indicator) - 75% (e.g. actual performance achieved against this Key Performance Indicator in a Service Period)</w:t>
            </w:r>
          </w:p>
        </w:tc>
        <w:tc>
          <w:tcPr>
            <w:tcW w:type="pct" w:w="40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w:t>
            </w:r>
          </w:p>
        </w:tc>
        <w:tc>
          <w:tcPr>
            <w:tcW w:type="pct" w:w="220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23% of the Charges payable to the Buyer as Service Credits to be deducted from the next Invoice payable by the Buyer</w:t>
            </w:r>
          </w:p>
        </w:tc>
      </w:tr>
    </w:tbl>
    <w:p>
      <w:pPr>
        <w:spacing w:after="120" w:line="300"/>
        <w:ind w:left="0"/>
        <w:jc w:val="both"/>
      </w:pPr>
      <w:r>
        <w:rPr>
          <w:rFonts w:ascii="Times New Roman" w:cs="Times New Roman" w:eastAsia="Times New Roman" w:hAnsi="Times New Roman"/>
          <w:b/>
          <w:bCs/>
          <w:sz w:val="22"/>
          <w:szCs w:val="22"/>
        </w:rPr>
        <w:t xml:space="preserve">Approaching Target = 0.01% - 1% below the KPI Performance Measure</w:t>
      </w:r>
    </w:p>
    <w:p>
      <w:pPr>
        <w:spacing w:after="120" w:line="300"/>
        <w:ind w:left="0"/>
        <w:jc w:val="both"/>
      </w:pPr>
      <w:r>
        <w:rPr>
          <w:rFonts w:ascii="Times New Roman" w:cs="Times New Roman" w:eastAsia="Times New Roman" w:hAnsi="Times New Roman"/>
          <w:b/>
          <w:bCs/>
          <w:sz w:val="22"/>
          <w:szCs w:val="22"/>
        </w:rPr>
        <w:t xml:space="preserve">Requires Improvement = 1.01% - 2% below the KPI Performance Measure</w:t>
      </w:r>
    </w:p>
    <w:p>
      <w:pPr>
        <w:spacing w:after="120" w:line="300"/>
        <w:ind w:left="0"/>
        <w:jc w:val="both"/>
      </w:pPr>
      <w:r>
        <w:rPr>
          <w:rFonts w:ascii="Times New Roman" w:cs="Times New Roman" w:eastAsia="Times New Roman" w:hAnsi="Times New Roman"/>
          <w:b/>
          <w:bCs/>
          <w:sz w:val="22"/>
          <w:szCs w:val="22"/>
        </w:rPr>
        <w:t xml:space="preserve">Inadequate = 2.01% - 3% below the KPI Performance Measure, or below the KPI Threshold (90%)</w:t>
      </w:r>
    </w:p>
    <w:p>
      <w:pPr>
        <w:spacing w:after="120" w:line="300"/>
        <w:ind w:left="0"/>
        <w:jc w:val="both"/>
      </w:pPr>
      <w:r>
        <w:rPr>
          <w:rFonts w:ascii="Times New Roman" w:cs="Times New Roman" w:eastAsia="Times New Roman" w:hAnsi="Times New Roman"/>
          <w:b/>
          <w:bCs/>
          <w:sz w:val="22"/>
          <w:szCs w:val="22"/>
        </w:rPr>
        <w:t xml:space="preserve">Other = where performance of the Supplier cannot be described as ‘Good’, ‘Approaching Target’, ‘Requires Improvement’ or ‘Inadequate’ due to any other factor(s).</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4527"/>
        <w:gridCol w:w="4473"/>
      </w:tblGrid>
      <w:tr>
        <w:trPr>
          <w:tblHeader/>
        </w:trPr>
        <w:tc>
          <w:tcPr>
            <w:tcW w:type="pct" w:w="250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bCs/>
                <w:sz w:val="20"/>
                <w:szCs w:val="20"/>
              </w:rPr>
              <w:t xml:space="preserve">Regulation 39(5) Rating</w:t>
            </w:r>
          </w:p>
        </w:tc>
        <w:tc>
          <w:tcPr>
            <w:tcW w:type="pct" w:w="250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bCs/>
                <w:sz w:val="20"/>
                <w:szCs w:val="20"/>
              </w:rPr>
              <w:t xml:space="preserve">Level of performance against the KPI Performance Measure</w:t>
            </w:r>
          </w:p>
        </w:tc>
      </w:tr>
      <w:tr>
        <w:trPr>
          <w:tblHeader w:val="off"/>
        </w:trPr>
        <w:tc>
          <w:tcPr>
            <w:tcW w:type="pct" w:w="250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Good</w:t>
            </w:r>
          </w:p>
        </w:tc>
        <w:tc>
          <w:tcPr>
            <w:tcW w:type="pct" w:w="250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at or above the KPI Performance Measure</w:t>
            </w:r>
          </w:p>
        </w:tc>
      </w:tr>
      <w:tr>
        <w:trPr>
          <w:tblHeader w:val="off"/>
        </w:trPr>
        <w:tc>
          <w:tcPr>
            <w:tcW w:type="pct" w:w="250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Approaching Target</w:t>
            </w:r>
          </w:p>
        </w:tc>
        <w:tc>
          <w:tcPr>
            <w:tcW w:type="pct" w:w="250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0.01% to 1% below the KPI Performance Measure</w:t>
            </w:r>
          </w:p>
        </w:tc>
      </w:tr>
      <w:tr>
        <w:trPr>
          <w:tblHeader w:val="off"/>
        </w:trPr>
        <w:tc>
          <w:tcPr>
            <w:tcW w:type="pct" w:w="250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Requires Improvement</w:t>
            </w:r>
          </w:p>
        </w:tc>
        <w:tc>
          <w:tcPr>
            <w:tcW w:type="pct" w:w="250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1.01% to 2% below</w:t>
            </w:r>
          </w:p>
        </w:tc>
      </w:tr>
      <w:tr>
        <w:trPr>
          <w:tblHeader w:val="off"/>
        </w:trPr>
        <w:tc>
          <w:tcPr>
            <w:tcW w:type="pct" w:w="250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Inadequate</w:t>
            </w:r>
          </w:p>
        </w:tc>
        <w:tc>
          <w:tcPr>
            <w:tcW w:type="pct" w:w="250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2.01% to 3% below, or below the KPI Threshold of 90%</w:t>
            </w:r>
          </w:p>
        </w:tc>
      </w:tr>
      <w:tr>
        <w:trPr>
          <w:tblHeader w:val="off"/>
        </w:trPr>
        <w:tc>
          <w:tcPr>
            <w:tcW w:type="pct" w:w="250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Other</w:t>
            </w:r>
          </w:p>
        </w:tc>
        <w:tc>
          <w:tcPr>
            <w:tcW w:type="pct" w:w="250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performance that cannot be rated for another reason, such as a disputed measurement</w:t>
            </w:r>
          </w:p>
        </w:tc>
      </w:tr>
    </w:tbl>
    <w:p>
      <w:pPr>
        <w:keepNext/>
        <w:spacing w:after="80" w:before="240"/>
        <w:ind w:left="0"/>
      </w:pPr>
      <w:r>
        <w:rPr>
          <w:rFonts w:ascii="Times New Roman" w:cs="Times New Roman" w:eastAsia="Times New Roman" w:hAnsi="Times New Roman"/>
          <w:b/>
          <w:bCs/>
          <w:color w:val="1f2937"/>
          <w:sz w:val="22"/>
          <w:szCs w:val="22"/>
        </w:rPr>
        <w:t xml:space="preserve">Part B: Performance Monitoring</w:t>
      </w:r>
    </w:p>
    <w:p>
      <w:pPr>
        <w:keepNext/>
        <w:spacing w:after="80" w:before="240"/>
        <w:ind w:left="0"/>
      </w:pPr>
      <w:r>
        <w:rPr>
          <w:rFonts w:ascii="Times New Roman" w:cs="Times New Roman" w:eastAsia="Times New Roman" w:hAnsi="Times New Roman"/>
          <w:b/>
          <w:bCs/>
          <w:color w:val="1f2937"/>
          <w:sz w:val="22"/>
          <w:szCs w:val="22"/>
        </w:rPr>
        <w:t xml:space="preserve">1 Performance Monitoring and Performance Review</w:t>
      </w:r>
    </w:p>
    <w:p>
      <w:pPr>
        <w:spacing w:after="120" w:line="300"/>
        <w:ind w:left="0"/>
        <w:jc w:val="both"/>
      </w:pPr>
      <w:r>
        <w:rPr>
          <w:rFonts w:ascii="Times New Roman" w:cs="Times New Roman" w:eastAsia="Times New Roman" w:hAnsi="Times New Roman"/>
          <w:sz w:val="22"/>
          <w:szCs w:val="22"/>
        </w:rPr>
        <w:t xml:space="preserve">1.1 Within twenty (20) Working Days of the Effective Date the Supplier shall provide the Buyer with details of how the process in respect of the monitoring and reporting of Key Performance Indicators will operate between the Parties and the Parties will endeavour to agree such process as soon as reasonably possible.</w:t>
      </w:r>
    </w:p>
    <w:p>
      <w:pPr>
        <w:spacing w:after="120" w:line="300"/>
        <w:ind w:left="0"/>
        <w:jc w:val="both"/>
      </w:pPr>
      <w:r>
        <w:rPr>
          <w:rFonts w:ascii="Times New Roman" w:cs="Times New Roman" w:eastAsia="Times New Roman" w:hAnsi="Times New Roman"/>
          <w:sz w:val="22"/>
          <w:szCs w:val="22"/>
        </w:rPr>
        <w:t xml:space="preserve">1.2 The Supplier shall provide the Buyer with performance monitoring reports ("Performance Monitoring Reports") in accordance with the process agreed pursuant to Paragraph 1.1 of Part B of this Schedule and with such frequency as shall be agreed between the Parties pursuant to Paragraph 1.1 to enable the Buyer to assess the Supplier’s performance against each Key Performance Indicator in each Measurement Period. The Performance Monitoring Reports shall contain, as a minimum, the following information in respect of the relevant Service Period just ended:</w:t>
      </w:r>
    </w:p>
    <w:p>
      <w:pPr>
        <w:spacing w:after="120" w:line="300"/>
        <w:ind w:left="0"/>
        <w:jc w:val="both"/>
      </w:pPr>
      <w:r>
        <w:rPr>
          <w:rFonts w:ascii="Times New Roman" w:cs="Times New Roman" w:eastAsia="Times New Roman" w:hAnsi="Times New Roman"/>
          <w:sz w:val="22"/>
          <w:szCs w:val="22"/>
        </w:rPr>
        <w:t xml:space="preserve">1.2.1 for each Key Performance Indicator, the actual performance achieved against the KPI Performance Measure for the relevant Service Period and, where a Measurement Period has ended in the period covered by the Performance Monitoring Report, the most recently ended Measurement Period;</w:t>
      </w:r>
    </w:p>
    <w:p>
      <w:pPr>
        <w:spacing w:after="120" w:line="300"/>
        <w:ind w:left="0"/>
        <w:jc w:val="both"/>
      </w:pPr>
      <w:r>
        <w:rPr>
          <w:rFonts w:ascii="Times New Roman" w:cs="Times New Roman" w:eastAsia="Times New Roman" w:hAnsi="Times New Roman"/>
          <w:sz w:val="22"/>
          <w:szCs w:val="22"/>
        </w:rPr>
        <w:t xml:space="preserve">1.2.2 a summary of all failures to achieve Key Performance Indicators that occurred during that Service Period;</w:t>
      </w:r>
    </w:p>
    <w:p>
      <w:pPr>
        <w:spacing w:after="120" w:line="300"/>
        <w:ind w:left="0"/>
        <w:jc w:val="both"/>
      </w:pPr>
      <w:r>
        <w:rPr>
          <w:rFonts w:ascii="Times New Roman" w:cs="Times New Roman" w:eastAsia="Times New Roman" w:hAnsi="Times New Roman"/>
          <w:sz w:val="22"/>
          <w:szCs w:val="22"/>
        </w:rPr>
        <w:t xml:space="preserve">1.2.3 details of any Critical KPI Failures;</w:t>
      </w:r>
    </w:p>
    <w:p>
      <w:pPr>
        <w:spacing w:after="120" w:line="300"/>
        <w:ind w:left="0"/>
        <w:jc w:val="both"/>
      </w:pPr>
      <w:r>
        <w:rPr>
          <w:rFonts w:ascii="Times New Roman" w:cs="Times New Roman" w:eastAsia="Times New Roman" w:hAnsi="Times New Roman"/>
          <w:sz w:val="22"/>
          <w:szCs w:val="22"/>
        </w:rPr>
        <w:t xml:space="preserve">1.2.4 for any repeat failures, actions taken to resolve the underlying cause and prevent recurrence;</w:t>
      </w:r>
    </w:p>
    <w:p>
      <w:pPr>
        <w:spacing w:after="120" w:line="300"/>
        <w:ind w:left="0"/>
        <w:jc w:val="both"/>
      </w:pPr>
      <w:r>
        <w:rPr>
          <w:rFonts w:ascii="Times New Roman" w:cs="Times New Roman" w:eastAsia="Times New Roman" w:hAnsi="Times New Roman"/>
          <w:sz w:val="22"/>
          <w:szCs w:val="22"/>
        </w:rPr>
        <w:t xml:space="preserve">1.2.5 the Service Credits to be applied in respect of the relevant period indicating the failures and Key Performance Indicators to which the Service Credits relate; and</w:t>
      </w:r>
    </w:p>
    <w:p>
      <w:pPr>
        <w:spacing w:after="120" w:line="300"/>
        <w:ind w:left="0"/>
        <w:jc w:val="both"/>
      </w:pPr>
      <w:r>
        <w:rPr>
          <w:rFonts w:ascii="Times New Roman" w:cs="Times New Roman" w:eastAsia="Times New Roman" w:hAnsi="Times New Roman"/>
          <w:sz w:val="22"/>
          <w:szCs w:val="22"/>
        </w:rPr>
        <w:t xml:space="preserve">1.2.6 such other details as the Buyer may reasonably require from time to time.</w:t>
      </w:r>
    </w:p>
    <w:p>
      <w:pPr>
        <w:spacing w:after="120" w:line="300"/>
        <w:ind w:left="0"/>
        <w:jc w:val="both"/>
      </w:pPr>
      <w:r>
        <w:rPr>
          <w:rFonts w:ascii="Times New Roman" w:cs="Times New Roman" w:eastAsia="Times New Roman" w:hAnsi="Times New Roman"/>
          <w:sz w:val="22"/>
          <w:szCs w:val="22"/>
        </w:rPr>
        <w:t xml:space="preserve">1.3 The Parties shall attend meetings to discuss Performance Monitoring Reports ("Performance Review Meetings") on a Monthly basis. The Performance Review Meetings will be the forum for the review by the Supplier and the Buyer of the Performance Monitoring Reports. The Performance Review Meetings shall:</w:t>
      </w:r>
    </w:p>
    <w:p>
      <w:pPr>
        <w:spacing w:after="120" w:line="300"/>
        <w:ind w:left="0"/>
        <w:jc w:val="both"/>
      </w:pPr>
      <w:r>
        <w:rPr>
          <w:rFonts w:ascii="Times New Roman" w:cs="Times New Roman" w:eastAsia="Times New Roman" w:hAnsi="Times New Roman"/>
          <w:sz w:val="22"/>
          <w:szCs w:val="22"/>
        </w:rPr>
        <w:t xml:space="preserve">1.3.1 take place within one (1) week of the Performance Monitoring Reports being issued by the Supplier at such location and time (within normal business hours) as the Buyer shall reasonably require;</w:t>
      </w:r>
    </w:p>
    <w:p>
      <w:pPr>
        <w:spacing w:after="120" w:line="300"/>
        <w:ind w:left="0"/>
        <w:jc w:val="both"/>
      </w:pPr>
      <w:r>
        <w:rPr>
          <w:rFonts w:ascii="Times New Roman" w:cs="Times New Roman" w:eastAsia="Times New Roman" w:hAnsi="Times New Roman"/>
          <w:sz w:val="22"/>
          <w:szCs w:val="22"/>
        </w:rPr>
        <w:t xml:space="preserve">1.3.2 be attended by the Supplier's Representative and the Buyer’s Representative; and</w:t>
      </w:r>
    </w:p>
    <w:p>
      <w:pPr>
        <w:spacing w:after="120" w:line="300"/>
        <w:ind w:left="0"/>
        <w:jc w:val="both"/>
      </w:pPr>
      <w:r>
        <w:rPr>
          <w:rFonts w:ascii="Times New Roman" w:cs="Times New Roman" w:eastAsia="Times New Roman" w:hAnsi="Times New Roman"/>
          <w:sz w:val="22"/>
          <w:szCs w:val="22"/>
        </w:rPr>
        <w:t xml:space="preserve">1.3.3 be fully minuted by the Supplier and the minutes will be circulated by the Supplier to all attendees at the relevant meeting and also to the Buyer’s Representative and any other recipients agreed at the relevant meeting.</w:t>
      </w:r>
    </w:p>
    <w:p>
      <w:pPr>
        <w:spacing w:after="120" w:line="300"/>
        <w:ind w:left="0"/>
        <w:jc w:val="both"/>
      </w:pPr>
      <w:r>
        <w:rPr>
          <w:rFonts w:ascii="Times New Roman" w:cs="Times New Roman" w:eastAsia="Times New Roman" w:hAnsi="Times New Roman"/>
          <w:sz w:val="22"/>
          <w:szCs w:val="22"/>
        </w:rPr>
        <w:t xml:space="preserve">1.4 The minutes of the preceding Month's Performance Review Meeting will be agreed and signed by both the Supplier's Representative and the Buyer’s Representative at each meeting.</w:t>
      </w:r>
    </w:p>
    <w:p>
      <w:pPr>
        <w:spacing w:after="120" w:line="300"/>
        <w:ind w:left="0"/>
        <w:jc w:val="both"/>
      </w:pPr>
      <w:r>
        <w:rPr>
          <w:rFonts w:ascii="Times New Roman" w:cs="Times New Roman" w:eastAsia="Times New Roman" w:hAnsi="Times New Roman"/>
          <w:sz w:val="22"/>
          <w:szCs w:val="22"/>
        </w:rPr>
        <w:t xml:space="preserve">1.5 The Supplier shall provide to the Buyer such documentation as the Buyer may reasonably require in order to verify the level of the performance by the Supplier and the calculations of the amount of Service Credits for any specified Service Period.</w:t>
      </w:r>
    </w:p>
    <w:p>
      <w:pPr>
        <w:spacing w:after="120" w:line="300"/>
        <w:ind w:left="0"/>
        <w:jc w:val="both"/>
      </w:pPr>
      <w:r>
        <w:rPr>
          <w:rFonts w:ascii="Times New Roman" w:cs="Times New Roman" w:eastAsia="Times New Roman" w:hAnsi="Times New Roman"/>
          <w:sz w:val="22"/>
          <w:szCs w:val="22"/>
        </w:rPr>
        <w:t xml:space="preserve">1.6 The relevant table in the Annex to Part A of this Schedule describes how the levels of performance under the KPI Performance Measures will be mapped to the performance ratings prescribed under regulation 38(5) of the Procurement Regulations 2024. The mapping set out in that table will be applied by the Buyer when publishing relevant Transparency Information relating to the Performance Indicators and/or the Supplier's performance against the relevant KPIs pursuant to Section 52(3) and/or Section 71(2) of the Procurement Act 2023 and the associated Regulations.</w:t>
      </w:r>
    </w:p>
    <w:p>
      <w:pPr>
        <w:spacing w:after="120" w:line="300"/>
        <w:ind w:left="0"/>
        <w:jc w:val="both"/>
      </w:pPr>
      <w:r>
        <w:rPr>
          <w:rFonts w:ascii="Times New Roman" w:cs="Times New Roman" w:eastAsia="Times New Roman" w:hAnsi="Times New Roman"/>
          <w:sz w:val="22"/>
          <w:szCs w:val="22"/>
        </w:rPr>
        <w:t xml:space="preserve">1.7 The Supplier acknowledges and agrees that, each time the Buyer conducts an assessment of the Supplier’s performance against a Key Performance Indicator, the Buyer may publish information as required by Law in relation to that assessment.</w:t>
      </w:r>
    </w:p>
    <w:p>
      <w:pPr>
        <w:keepNext/>
        <w:spacing w:after="80" w:before="240"/>
        <w:ind w:left="0"/>
      </w:pPr>
      <w:r>
        <w:rPr>
          <w:rFonts w:ascii="Times New Roman" w:cs="Times New Roman" w:eastAsia="Times New Roman" w:hAnsi="Times New Roman"/>
          <w:b/>
          <w:bCs/>
          <w:color w:val="1f2937"/>
          <w:sz w:val="22"/>
          <w:szCs w:val="22"/>
        </w:rPr>
        <w:t xml:space="preserve">2 Satisfaction Surveys</w:t>
      </w:r>
    </w:p>
    <w:p>
      <w:pPr>
        <w:spacing w:after="120" w:line="300"/>
        <w:ind w:left="0"/>
        <w:jc w:val="both"/>
      </w:pPr>
      <w:r>
        <w:rPr>
          <w:rFonts w:ascii="Times New Roman" w:cs="Times New Roman" w:eastAsia="Times New Roman" w:hAnsi="Times New Roman"/>
          <w:sz w:val="22"/>
          <w:szCs w:val="22"/>
        </w:rPr>
        <w:t xml:space="preserve">The Buyer may undertake satisfaction surveys in respect of the Supplier's provision of the Deliverables. The Buyer shall be entitled to notify the Supplier of any aspects of their performance of the provision of the Deliverables which the responses to the Satisfaction Surveys reasonably suggest are not in accordance with this Contract.</w:t>
      </w:r>
    </w:p>
    <w:sectPr>
      <w:footerReference w:type="default" r:id="rId6"/>
      <w:pgSz w:w="11906" w:h="16838" w:orient="portrait"/>
      <w:pgMar w:top="1417" w:right="1417" w:bottom="1417" w:left="1417"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color w:val="666666"/>
        <w:sz w:val="16"/>
        <w:szCs w:val="16"/>
      </w:rPr>
      <w:t xml:space="preserve">Page </w:t>
      <w:fldChar w:fldCharType="begin"/>
      <w:instrText xml:space="preserve">PAGE</w:instrText>
      <w:fldChar w:fldCharType="separate"/>
      <w:fldChar w:fldCharType="end"/>
      <w:t xml:space="preserve"> of </w:t>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2"/>
        <w:szCs w:val="22"/>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Kestrelford District Council helpdesk: Schedule 10</dc:title>
  <dc:creator>DocuWeave</dc:creator>
  <cp:lastModifiedBy>Un-named</cp:lastModifiedBy>
  <cp:revision>1</cp:revision>
  <dcterms:created xsi:type="dcterms:W3CDTF">2026-10-06T22:28:13.706Z</dcterms:created>
  <dcterms:modified xsi:type="dcterms:W3CDTF">2026-10-06T22:28:13.706Z</dcterms:modified>
</cp:coreProperties>
</file>

<file path=docProps/custom.xml><?xml version="1.0" encoding="utf-8"?>
<Properties xmlns="http://schemas.openxmlformats.org/officeDocument/2006/custom-properties" xmlns:vt="http://schemas.openxmlformats.org/officeDocument/2006/docPropsVTypes"/>
</file>